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4" w:lineRule="exact"/>
        <w:ind w:firstLine="880" w:firstLineChars="200"/>
        <w:jc w:val="center"/>
        <w:rPr>
          <w:rFonts w:ascii="方正小标宋简体" w:hAnsi="Times New Roman" w:eastAsia="方正小标宋简体" w:cs="Times New Roman"/>
          <w:sz w:val="44"/>
          <w:szCs w:val="44"/>
        </w:rPr>
      </w:pPr>
      <w:bookmarkStart w:id="3" w:name="_GoBack"/>
      <w:bookmarkEnd w:id="3"/>
      <w:r>
        <w:rPr>
          <w:rFonts w:hint="eastAsia" w:ascii="方正小标宋简体" w:hAnsi="Times New Roman" w:eastAsia="方正小标宋简体" w:cs="Times New Roman"/>
          <w:sz w:val="44"/>
          <w:szCs w:val="44"/>
        </w:rPr>
        <w:t>中国共产党永清县纪律检查委员会</w:t>
      </w:r>
    </w:p>
    <w:p>
      <w:pPr>
        <w:spacing w:line="584" w:lineRule="exact"/>
        <w:ind w:firstLine="880" w:firstLineChars="200"/>
        <w:jc w:val="center"/>
        <w:rPr>
          <w:rFonts w:ascii="方正小标宋简体" w:hAnsi="Times New Roman" w:eastAsia="方正小标宋简体" w:cs="Times New Roman"/>
          <w:sz w:val="44"/>
          <w:szCs w:val="44"/>
        </w:rPr>
      </w:pPr>
      <w:r>
        <w:rPr>
          <w:rFonts w:hint="eastAsia" w:ascii="方正小标宋简体" w:hAnsi="Times New Roman" w:eastAsia="方正小标宋简体" w:cs="Times New Roman"/>
          <w:sz w:val="44"/>
          <w:szCs w:val="44"/>
        </w:rPr>
        <w:t>2021年部门预算信息公开情况说明</w:t>
      </w:r>
    </w:p>
    <w:p>
      <w:pPr>
        <w:spacing w:line="584" w:lineRule="exact"/>
        <w:ind w:firstLine="880" w:firstLineChars="200"/>
        <w:jc w:val="center"/>
        <w:rPr>
          <w:rFonts w:ascii="Times New Roman" w:hAnsi="Times New Roman" w:eastAsia="仿宋_GB2312" w:cs="Times New Roman"/>
          <w:sz w:val="44"/>
          <w:szCs w:val="44"/>
        </w:rPr>
      </w:pPr>
    </w:p>
    <w:p>
      <w:pPr>
        <w:spacing w:line="584" w:lineRule="exact"/>
        <w:ind w:firstLine="640" w:firstLineChars="200"/>
        <w:jc w:val="left"/>
        <w:rPr>
          <w:rFonts w:ascii="Times New Roman" w:hAnsi="Times New Roman" w:eastAsia="仿宋_GB2312" w:cs="Times New Roman"/>
          <w:sz w:val="32"/>
          <w:szCs w:val="32"/>
        </w:rPr>
      </w:pPr>
      <w:r>
        <w:rPr>
          <w:rFonts w:ascii="Times New Roman" w:hAnsi="Times New Roman" w:eastAsia="仿宋_GB2312" w:cs="Times New Roman"/>
          <w:sz w:val="32"/>
          <w:szCs w:val="32"/>
        </w:rPr>
        <w:t>按照《预算法》、《地方预决算公开操作规程》和《河北省省级预算公开办法》规定，现将</w:t>
      </w:r>
      <w:r>
        <w:rPr>
          <w:rFonts w:hint="eastAsia" w:ascii="Times New Roman" w:hAnsi="Times New Roman" w:eastAsia="仿宋_GB2312" w:cs="Times New Roman"/>
          <w:sz w:val="32"/>
          <w:szCs w:val="32"/>
        </w:rPr>
        <w:t>中国共产党永清县纪律检查委员会</w:t>
      </w:r>
      <w:r>
        <w:rPr>
          <w:rFonts w:ascii="Times New Roman" w:hAnsi="Times New Roman" w:eastAsia="仿宋_GB2312" w:cs="Times New Roman"/>
          <w:sz w:val="32"/>
          <w:szCs w:val="32"/>
        </w:rPr>
        <w:t>202</w:t>
      </w:r>
      <w:r>
        <w:rPr>
          <w:rFonts w:hint="eastAsia" w:ascii="Times New Roman" w:hAnsi="Times New Roman" w:eastAsia="仿宋_GB2312" w:cs="Times New Roman"/>
          <w:sz w:val="32"/>
          <w:szCs w:val="32"/>
        </w:rPr>
        <w:t>1</w:t>
      </w:r>
      <w:r>
        <w:rPr>
          <w:rFonts w:ascii="Times New Roman" w:hAnsi="Times New Roman" w:eastAsia="仿宋_GB2312" w:cs="Times New Roman"/>
          <w:sz w:val="32"/>
          <w:szCs w:val="32"/>
        </w:rPr>
        <w:t>年部门预算公开如下：</w:t>
      </w:r>
    </w:p>
    <w:p>
      <w:pPr>
        <w:spacing w:line="584" w:lineRule="exact"/>
        <w:ind w:firstLine="640" w:firstLineChars="200"/>
        <w:rPr>
          <w:rFonts w:ascii="Times New Roman" w:hAnsi="Times New Roman" w:eastAsia="黑体" w:cs="Times New Roman"/>
          <w:sz w:val="32"/>
          <w:szCs w:val="32"/>
        </w:rPr>
      </w:pPr>
      <w:r>
        <w:rPr>
          <w:rFonts w:ascii="Times New Roman" w:hAnsi="黑体" w:eastAsia="黑体" w:cs="Times New Roman"/>
          <w:sz w:val="32"/>
          <w:szCs w:val="32"/>
        </w:rPr>
        <w:t>一、部门职责及机构设置情况</w:t>
      </w:r>
    </w:p>
    <w:p>
      <w:pPr>
        <w:spacing w:line="584" w:lineRule="exact"/>
        <w:ind w:firstLine="643" w:firstLineChars="200"/>
        <w:rPr>
          <w:rFonts w:ascii="Times New Roman" w:hAnsi="Times New Roman" w:eastAsia="楷体_GB2312" w:cs="Times New Roman"/>
          <w:b/>
          <w:sz w:val="32"/>
          <w:szCs w:val="32"/>
        </w:rPr>
      </w:pPr>
      <w:r>
        <w:rPr>
          <w:rFonts w:ascii="Times New Roman" w:hAnsi="Times New Roman" w:eastAsia="楷体_GB2312" w:cs="Times New Roman"/>
          <w:b/>
          <w:sz w:val="32"/>
          <w:szCs w:val="32"/>
        </w:rPr>
        <w:t>部门职责：</w:t>
      </w:r>
    </w:p>
    <w:p>
      <w:pPr>
        <w:ind w:firstLine="640"/>
        <w:rPr>
          <w:rFonts w:ascii="仿宋_GB2312" w:hAnsi="黑体" w:eastAsia="仿宋_GB2312"/>
          <w:sz w:val="32"/>
          <w:szCs w:val="32"/>
        </w:rPr>
      </w:pPr>
      <w:r>
        <w:rPr>
          <w:rFonts w:hint="eastAsia" w:ascii="仿宋_GB2312" w:hAnsi="黑体" w:eastAsia="仿宋_GB2312"/>
          <w:sz w:val="32"/>
          <w:szCs w:val="32"/>
        </w:rPr>
        <w:t>纪委监委主要职责</w:t>
      </w:r>
    </w:p>
    <w:p>
      <w:pPr>
        <w:spacing w:line="600" w:lineRule="exact"/>
        <w:ind w:firstLine="640" w:firstLineChars="200"/>
        <w:rPr>
          <w:rFonts w:eastAsia="仿宋_GB2312"/>
          <w:sz w:val="32"/>
          <w:szCs w:val="32"/>
        </w:rPr>
      </w:pPr>
      <w:r>
        <w:rPr>
          <w:rFonts w:eastAsia="仿宋_GB2312"/>
          <w:sz w:val="32"/>
          <w:szCs w:val="32"/>
        </w:rPr>
        <w:t>1</w:t>
      </w:r>
      <w:r>
        <w:rPr>
          <w:rFonts w:hint="eastAsia" w:eastAsia="仿宋_GB2312"/>
          <w:sz w:val="32"/>
          <w:szCs w:val="32"/>
        </w:rPr>
        <w:t>、</w:t>
      </w:r>
      <w:r>
        <w:rPr>
          <w:rFonts w:eastAsia="仿宋_GB2312"/>
          <w:sz w:val="32"/>
          <w:szCs w:val="32"/>
        </w:rPr>
        <w:t>负责全县党的纪律检查工作。贯彻落实党中央、省委、市委和县委关于纪律检查工作的决策部署，维护党的章程和其他党内法规，检查党的路线方针政策和决议的执行情况，协助县委推进全面从严治党、加强党风建设和组织协调反腐败工作。</w:t>
      </w:r>
    </w:p>
    <w:p>
      <w:pPr>
        <w:spacing w:line="600" w:lineRule="exact"/>
        <w:ind w:firstLine="640" w:firstLineChars="200"/>
        <w:rPr>
          <w:rFonts w:eastAsia="仿宋_GB2312"/>
          <w:sz w:val="32"/>
          <w:szCs w:val="32"/>
        </w:rPr>
      </w:pPr>
      <w:r>
        <w:rPr>
          <w:rFonts w:hint="eastAsia" w:eastAsia="仿宋_GB2312"/>
          <w:sz w:val="32"/>
          <w:szCs w:val="32"/>
        </w:rPr>
        <w:t>2、</w:t>
      </w:r>
      <w:r>
        <w:rPr>
          <w:rFonts w:eastAsia="仿宋_GB2312"/>
          <w:sz w:val="32"/>
          <w:szCs w:val="32"/>
        </w:rPr>
        <w:t>依照党的章程和其他党内法规履行监督、执纪、问责职责。负责经常对党员进行遵守纪律的教育，作出关于维护党纪的决定；对县委工作机关、县委批准设立的党组（党委），各乡镇（区）党委（党工委）、纪委（纪工委）等党的组织和县委管理的党员领导干部履行职责、行使权力进行监督，受理处置党员群众检举举报，开展谈话提醒、约谈函询；检查和处理上述党的组织和党员违反党的章程和其他党内法规的比较重要或者复杂的案件，决定或者取消对这些案件中的党员的处分；进行问责或者提出责任追究的建议；受理党员的控告和申诉；保障党员的权利。</w:t>
      </w:r>
    </w:p>
    <w:p>
      <w:pPr>
        <w:spacing w:line="600" w:lineRule="exact"/>
        <w:ind w:firstLine="640" w:firstLineChars="200"/>
        <w:rPr>
          <w:rFonts w:eastAsia="仿宋_GB2312"/>
          <w:sz w:val="32"/>
          <w:szCs w:val="32"/>
        </w:rPr>
      </w:pPr>
      <w:r>
        <w:rPr>
          <w:rFonts w:hint="eastAsia" w:eastAsia="仿宋_GB2312"/>
          <w:sz w:val="32"/>
          <w:szCs w:val="32"/>
        </w:rPr>
        <w:t>3、</w:t>
      </w:r>
      <w:r>
        <w:rPr>
          <w:rFonts w:eastAsia="仿宋_GB2312"/>
          <w:sz w:val="32"/>
          <w:szCs w:val="32"/>
        </w:rPr>
        <w:t>支持配合巡视巡察工作。承担巡察整改日常监督责任，做好巡察整改督查督办工作，依规依纪依法处置巡视巡察移交的反映领导干部问题线索。</w:t>
      </w:r>
    </w:p>
    <w:p>
      <w:pPr>
        <w:spacing w:line="600" w:lineRule="exact"/>
        <w:ind w:firstLine="640" w:firstLineChars="200"/>
        <w:rPr>
          <w:rFonts w:eastAsia="仿宋_GB2312"/>
          <w:sz w:val="32"/>
          <w:szCs w:val="32"/>
        </w:rPr>
      </w:pPr>
      <w:r>
        <w:rPr>
          <w:rFonts w:hint="eastAsia" w:eastAsia="仿宋_GB2312"/>
          <w:sz w:val="32"/>
          <w:szCs w:val="32"/>
        </w:rPr>
        <w:t>4、</w:t>
      </w:r>
      <w:r>
        <w:rPr>
          <w:rFonts w:eastAsia="仿宋_GB2312"/>
          <w:sz w:val="32"/>
          <w:szCs w:val="32"/>
        </w:rPr>
        <w:t>负责全县监察工作。贯彻落实党中央、省委、市委和县委关于监察工作的决策部署，维护宪法法律，依法对县委管理的行使公权力的公职人员进行监察，调查职务违法和职务犯罪，开展廉政建设和反腐败工作。</w:t>
      </w:r>
    </w:p>
    <w:p>
      <w:pPr>
        <w:spacing w:line="600" w:lineRule="exact"/>
        <w:ind w:firstLine="640" w:firstLineChars="200"/>
        <w:rPr>
          <w:rFonts w:eastAsia="仿宋_GB2312"/>
          <w:sz w:val="32"/>
          <w:szCs w:val="32"/>
        </w:rPr>
      </w:pPr>
      <w:r>
        <w:rPr>
          <w:rFonts w:hint="eastAsia" w:eastAsia="仿宋_GB2312"/>
          <w:sz w:val="32"/>
          <w:szCs w:val="32"/>
        </w:rPr>
        <w:t>5、</w:t>
      </w:r>
      <w:r>
        <w:rPr>
          <w:rFonts w:eastAsia="仿宋_GB2312"/>
          <w:sz w:val="32"/>
          <w:szCs w:val="32"/>
        </w:rPr>
        <w:t>依照法律规定履行监督、调查、处置职责。推动开展廉政教育，对县委管理的行使公权力的公职人员依法履职、秉公用权、廉洁从政从业以及道德操守情况进行监督检查；对涉嫌贪污贿赂、滥用职权、玩忽职守、权力寻租、利益输送、徇私舞弊以及浪费国家资财等职务违法和职务犯罪进行调查；对违法的公职人员依法作出政务处分决定；对履行职责不力、失职失责的领导人员进行问责；对涉嫌职务犯罪的，将调查结果移送人民检察院依法审查、提起公诉；向监察对象所在单位提出监察建议。</w:t>
      </w:r>
    </w:p>
    <w:p>
      <w:pPr>
        <w:spacing w:line="600" w:lineRule="exact"/>
        <w:ind w:firstLine="640" w:firstLineChars="200"/>
        <w:rPr>
          <w:rFonts w:eastAsia="仿宋_GB2312"/>
          <w:sz w:val="32"/>
          <w:szCs w:val="32"/>
        </w:rPr>
      </w:pPr>
      <w:r>
        <w:rPr>
          <w:rFonts w:hint="eastAsia" w:eastAsia="仿宋_GB2312"/>
          <w:sz w:val="32"/>
          <w:szCs w:val="32"/>
        </w:rPr>
        <w:t>6、</w:t>
      </w:r>
      <w:r>
        <w:rPr>
          <w:rFonts w:eastAsia="仿宋_GB2312"/>
          <w:sz w:val="32"/>
          <w:szCs w:val="32"/>
        </w:rPr>
        <w:t>负责组织协调全面从严治党、党风廉政建设和反腐败宣传教育工作</w:t>
      </w:r>
      <w:r>
        <w:rPr>
          <w:rFonts w:hint="eastAsia" w:eastAsia="仿宋_GB2312"/>
          <w:sz w:val="32"/>
          <w:szCs w:val="32"/>
        </w:rPr>
        <w:t>，组织开展职务犯罪预防工作</w:t>
      </w:r>
      <w:r>
        <w:rPr>
          <w:rFonts w:eastAsia="仿宋_GB2312"/>
          <w:sz w:val="32"/>
          <w:szCs w:val="32"/>
        </w:rPr>
        <w:t>。</w:t>
      </w:r>
    </w:p>
    <w:p>
      <w:pPr>
        <w:spacing w:line="600" w:lineRule="exact"/>
        <w:ind w:firstLine="640" w:firstLineChars="200"/>
        <w:rPr>
          <w:rFonts w:eastAsia="仿宋_GB2312"/>
          <w:sz w:val="32"/>
          <w:szCs w:val="32"/>
        </w:rPr>
      </w:pPr>
      <w:r>
        <w:rPr>
          <w:rFonts w:hint="eastAsia" w:eastAsia="仿宋_GB2312"/>
          <w:sz w:val="32"/>
          <w:szCs w:val="32"/>
        </w:rPr>
        <w:t>7、</w:t>
      </w:r>
      <w:r>
        <w:rPr>
          <w:rFonts w:eastAsia="仿宋_GB2312"/>
          <w:sz w:val="32"/>
          <w:szCs w:val="32"/>
        </w:rPr>
        <w:t>负责综合分析全面从严治党、党风廉政建设和反腐败工作情况，对纪检监察工作重要理论及实践问题进行调查研究；制定或者修改全县纪检监察有关制度，参与起草有关规范性文件。</w:t>
      </w:r>
    </w:p>
    <w:p>
      <w:pPr>
        <w:spacing w:line="600" w:lineRule="exact"/>
        <w:ind w:firstLine="640" w:firstLineChars="200"/>
        <w:rPr>
          <w:rFonts w:eastAsia="仿宋_GB2312"/>
          <w:sz w:val="32"/>
          <w:szCs w:val="32"/>
        </w:rPr>
      </w:pPr>
      <w:r>
        <w:rPr>
          <w:rFonts w:hint="eastAsia" w:eastAsia="仿宋_GB2312"/>
          <w:sz w:val="32"/>
          <w:szCs w:val="32"/>
        </w:rPr>
        <w:t>8、</w:t>
      </w:r>
      <w:r>
        <w:rPr>
          <w:rFonts w:eastAsia="仿宋_GB2312"/>
          <w:sz w:val="32"/>
          <w:szCs w:val="32"/>
        </w:rPr>
        <w:t>负责组织协调全县反腐败追逃追赃和防逃工作，督促有关单位做好相关工作。</w:t>
      </w:r>
    </w:p>
    <w:p>
      <w:pPr>
        <w:spacing w:line="600" w:lineRule="exact"/>
        <w:ind w:firstLine="640" w:firstLineChars="200"/>
        <w:rPr>
          <w:rFonts w:eastAsia="仿宋_GB2312"/>
          <w:sz w:val="32"/>
          <w:szCs w:val="32"/>
        </w:rPr>
      </w:pPr>
      <w:r>
        <w:rPr>
          <w:rFonts w:hint="eastAsia" w:eastAsia="仿宋_GB2312"/>
          <w:sz w:val="32"/>
          <w:szCs w:val="32"/>
        </w:rPr>
        <w:t>9、</w:t>
      </w:r>
      <w:r>
        <w:rPr>
          <w:rFonts w:eastAsia="仿宋_GB2312"/>
          <w:sz w:val="32"/>
          <w:szCs w:val="32"/>
        </w:rPr>
        <w:t>根据干部管理权限，负责全县纪检监察系统领导班子建设、干部队伍建设和组织建设的综合规划、政策研究、制度建设和业务指导；会同县委组织部负责县委巡察办的科级干部提名、考察，报县委任免；根据干部管理权限负责县委巡察办股级及以下干部人事工作。会同有关方面做好县纪委监委派驻（派出）机构、乡镇（区）纪检监察机关、县管企业和县属学校、医院纪检监察机构领导班子建设有关工作；组织和指导全县纪检监察系统干部教育培训工作等。</w:t>
      </w:r>
    </w:p>
    <w:p>
      <w:pPr>
        <w:ind w:firstLine="640"/>
        <w:rPr>
          <w:rFonts w:ascii="仿宋_GB2312" w:hAnsi="黑体" w:eastAsia="仿宋_GB2312"/>
          <w:sz w:val="32"/>
          <w:szCs w:val="32"/>
        </w:rPr>
      </w:pPr>
      <w:r>
        <w:rPr>
          <w:rFonts w:hint="eastAsia" w:eastAsia="仿宋_GB2312"/>
          <w:sz w:val="32"/>
          <w:szCs w:val="32"/>
        </w:rPr>
        <w:t>10、</w:t>
      </w:r>
      <w:r>
        <w:rPr>
          <w:rFonts w:eastAsia="仿宋_GB2312"/>
          <w:sz w:val="32"/>
          <w:szCs w:val="32"/>
        </w:rPr>
        <w:t>完成市纪委、市监委、县委交办的其他任务</w:t>
      </w:r>
      <w:r>
        <w:rPr>
          <w:rFonts w:hint="eastAsia" w:eastAsia="仿宋_GB2312"/>
          <w:sz w:val="32"/>
          <w:szCs w:val="32"/>
        </w:rPr>
        <w:t>。</w:t>
      </w:r>
    </w:p>
    <w:p>
      <w:pPr>
        <w:ind w:firstLine="640"/>
        <w:rPr>
          <w:rFonts w:ascii="仿宋_GB2312" w:hAnsi="黑体" w:eastAsia="仿宋_GB2312"/>
          <w:sz w:val="32"/>
          <w:szCs w:val="32"/>
        </w:rPr>
      </w:pPr>
      <w:r>
        <w:rPr>
          <w:rFonts w:hint="eastAsia" w:ascii="仿宋_GB2312" w:hAnsi="黑体" w:eastAsia="仿宋_GB2312"/>
          <w:sz w:val="32"/>
          <w:szCs w:val="32"/>
        </w:rPr>
        <w:t>巡察机构主要职责</w:t>
      </w:r>
    </w:p>
    <w:p>
      <w:pPr>
        <w:ind w:firstLine="640" w:firstLineChars="200"/>
        <w:rPr>
          <w:rFonts w:ascii="仿宋_GB2312" w:hAnsi="黑体" w:eastAsia="仿宋_GB2312"/>
          <w:sz w:val="32"/>
          <w:szCs w:val="32"/>
        </w:rPr>
      </w:pPr>
      <w:r>
        <w:rPr>
          <w:rFonts w:hint="eastAsia" w:ascii="仿宋_GB2312" w:hAnsi="黑体" w:eastAsia="仿宋_GB2312"/>
          <w:sz w:val="32"/>
          <w:szCs w:val="32"/>
        </w:rPr>
        <w:t>1、</w:t>
      </w:r>
      <w:r>
        <w:rPr>
          <w:rFonts w:ascii="仿宋_GB2312" w:hAnsi="黑体" w:eastAsia="仿宋_GB2312"/>
          <w:sz w:val="32"/>
          <w:szCs w:val="32"/>
        </w:rPr>
        <w:t>贯彻落实党中央、省委、市委、县委和县委巡察工作领导小组的决策部署，向市委巡察工作领导小组办公室和县委巡察工作领导小组报告工作情况。</w:t>
      </w:r>
    </w:p>
    <w:p>
      <w:pPr>
        <w:ind w:firstLine="640" w:firstLineChars="200"/>
        <w:rPr>
          <w:rFonts w:ascii="仿宋_GB2312" w:hAnsi="黑体" w:eastAsia="仿宋_GB2312"/>
          <w:sz w:val="32"/>
          <w:szCs w:val="32"/>
        </w:rPr>
      </w:pPr>
      <w:r>
        <w:rPr>
          <w:rFonts w:hint="eastAsia" w:ascii="仿宋_GB2312" w:hAnsi="黑体" w:eastAsia="仿宋_GB2312"/>
          <w:sz w:val="32"/>
          <w:szCs w:val="32"/>
        </w:rPr>
        <w:t>2、</w:t>
      </w:r>
      <w:r>
        <w:rPr>
          <w:rFonts w:ascii="仿宋_GB2312" w:hAnsi="黑体" w:eastAsia="仿宋_GB2312"/>
          <w:sz w:val="32"/>
          <w:szCs w:val="32"/>
        </w:rPr>
        <w:t>统筹、协调、指导开展巡察工作。</w:t>
      </w:r>
    </w:p>
    <w:p>
      <w:pPr>
        <w:ind w:firstLine="640" w:firstLineChars="200"/>
        <w:rPr>
          <w:rFonts w:ascii="仿宋_GB2312" w:hAnsi="黑体" w:eastAsia="仿宋_GB2312"/>
          <w:sz w:val="32"/>
          <w:szCs w:val="32"/>
        </w:rPr>
      </w:pPr>
      <w:r>
        <w:rPr>
          <w:rFonts w:hint="eastAsia" w:ascii="仿宋_GB2312" w:hAnsi="黑体" w:eastAsia="仿宋_GB2312"/>
          <w:sz w:val="32"/>
          <w:szCs w:val="32"/>
        </w:rPr>
        <w:t>3、</w:t>
      </w:r>
      <w:r>
        <w:rPr>
          <w:rFonts w:ascii="仿宋_GB2312" w:hAnsi="黑体" w:eastAsia="仿宋_GB2312"/>
          <w:sz w:val="32"/>
          <w:szCs w:val="32"/>
        </w:rPr>
        <w:t>承担政策研究、制度建设等工作。</w:t>
      </w:r>
    </w:p>
    <w:p>
      <w:pPr>
        <w:ind w:firstLine="640" w:firstLineChars="200"/>
        <w:rPr>
          <w:rFonts w:ascii="仿宋_GB2312" w:hAnsi="黑体" w:eastAsia="仿宋_GB2312"/>
          <w:sz w:val="32"/>
          <w:szCs w:val="32"/>
        </w:rPr>
      </w:pPr>
      <w:r>
        <w:rPr>
          <w:rFonts w:hint="eastAsia" w:ascii="仿宋_GB2312" w:hAnsi="黑体" w:eastAsia="仿宋_GB2312"/>
          <w:sz w:val="32"/>
          <w:szCs w:val="32"/>
        </w:rPr>
        <w:t>4、</w:t>
      </w:r>
      <w:r>
        <w:rPr>
          <w:rFonts w:ascii="仿宋_GB2312" w:hAnsi="黑体" w:eastAsia="仿宋_GB2312"/>
          <w:sz w:val="32"/>
          <w:szCs w:val="32"/>
        </w:rPr>
        <w:t>对县委、县委巡察工作领导小组决定的事项进行督办，会同巡察组对巡察整改工作进行专项检查。</w:t>
      </w:r>
    </w:p>
    <w:p>
      <w:pPr>
        <w:ind w:firstLine="640" w:firstLineChars="200"/>
        <w:rPr>
          <w:rFonts w:ascii="仿宋_GB2312" w:hAnsi="黑体" w:eastAsia="仿宋_GB2312"/>
          <w:sz w:val="32"/>
          <w:szCs w:val="32"/>
        </w:rPr>
      </w:pPr>
      <w:r>
        <w:rPr>
          <w:rFonts w:hint="eastAsia" w:ascii="仿宋_GB2312" w:hAnsi="黑体" w:eastAsia="仿宋_GB2312"/>
          <w:sz w:val="32"/>
          <w:szCs w:val="32"/>
        </w:rPr>
        <w:t>5、</w:t>
      </w:r>
      <w:r>
        <w:rPr>
          <w:rFonts w:ascii="仿宋_GB2312" w:hAnsi="黑体" w:eastAsia="仿宋_GB2312"/>
          <w:sz w:val="32"/>
          <w:szCs w:val="32"/>
        </w:rPr>
        <w:t>配合有关部门对巡察工作人员进行培训、考核、监督和管理。</w:t>
      </w:r>
    </w:p>
    <w:p>
      <w:pPr>
        <w:ind w:firstLine="640" w:firstLineChars="200"/>
        <w:rPr>
          <w:rFonts w:ascii="仿宋_GB2312" w:hAnsi="黑体" w:eastAsia="仿宋_GB2312"/>
          <w:sz w:val="32"/>
          <w:szCs w:val="32"/>
        </w:rPr>
      </w:pPr>
      <w:r>
        <w:rPr>
          <w:rFonts w:hint="eastAsia" w:ascii="仿宋_GB2312" w:hAnsi="黑体" w:eastAsia="仿宋_GB2312"/>
          <w:sz w:val="32"/>
          <w:szCs w:val="32"/>
        </w:rPr>
        <w:t>6、</w:t>
      </w:r>
      <w:r>
        <w:rPr>
          <w:rFonts w:ascii="仿宋_GB2312" w:hAnsi="黑体" w:eastAsia="仿宋_GB2312"/>
          <w:sz w:val="32"/>
          <w:szCs w:val="32"/>
        </w:rPr>
        <w:t>管理巡察工作专项经费。</w:t>
      </w:r>
    </w:p>
    <w:p>
      <w:pPr>
        <w:ind w:firstLine="640" w:firstLineChars="200"/>
        <w:rPr>
          <w:rFonts w:ascii="仿宋_GB2312" w:hAnsi="黑体" w:eastAsia="仿宋_GB2312"/>
          <w:sz w:val="32"/>
          <w:szCs w:val="32"/>
        </w:rPr>
      </w:pPr>
      <w:r>
        <w:rPr>
          <w:rFonts w:hint="eastAsia" w:ascii="仿宋_GB2312" w:hAnsi="黑体" w:eastAsia="仿宋_GB2312"/>
          <w:sz w:val="32"/>
          <w:szCs w:val="32"/>
        </w:rPr>
        <w:t>7、</w:t>
      </w:r>
      <w:r>
        <w:rPr>
          <w:rFonts w:ascii="仿宋_GB2312" w:hAnsi="黑体" w:eastAsia="仿宋_GB2312"/>
          <w:sz w:val="32"/>
          <w:szCs w:val="32"/>
        </w:rPr>
        <w:t>完成市委巡察工作领导小组办公室和县委巡察工作领导小组交办的其他任务。</w:t>
      </w:r>
    </w:p>
    <w:p>
      <w:pPr>
        <w:autoSpaceDE w:val="0"/>
        <w:autoSpaceDN w:val="0"/>
        <w:adjustRightInd w:val="0"/>
        <w:spacing w:line="584" w:lineRule="exact"/>
        <w:ind w:firstLine="630" w:firstLineChars="196"/>
        <w:jc w:val="left"/>
        <w:rPr>
          <w:rFonts w:ascii="Times New Roman" w:hAnsi="Times New Roman" w:eastAsia="楷体_GB2312" w:cs="Times New Roman"/>
          <w:b/>
          <w:sz w:val="32"/>
          <w:szCs w:val="32"/>
        </w:rPr>
      </w:pPr>
      <w:r>
        <w:rPr>
          <w:rFonts w:ascii="Times New Roman" w:hAnsi="Times New Roman" w:eastAsia="楷体_GB2312" w:cs="Times New Roman"/>
          <w:b/>
          <w:sz w:val="32"/>
          <w:szCs w:val="32"/>
        </w:rPr>
        <w:t>机构设置：</w:t>
      </w:r>
    </w:p>
    <w:p>
      <w:pPr>
        <w:spacing w:line="584" w:lineRule="exact"/>
        <w:jc w:val="center"/>
        <w:outlineLvl w:val="0"/>
        <w:rPr>
          <w:rFonts w:ascii="Times New Roman" w:hAnsi="Times New Roman" w:eastAsia="仿宋_GB2312" w:cs="Times New Roman"/>
          <w:b/>
          <w:sz w:val="32"/>
          <w:szCs w:val="24"/>
        </w:rPr>
      </w:pPr>
      <w:r>
        <w:rPr>
          <w:rFonts w:ascii="Times New Roman" w:hAnsi="Times New Roman" w:eastAsia="仿宋_GB2312" w:cs="Times New Roman"/>
          <w:b/>
          <w:sz w:val="32"/>
          <w:szCs w:val="24"/>
        </w:rPr>
        <w:t>部门机构设置情况</w:t>
      </w:r>
    </w:p>
    <w:tbl>
      <w:tblPr>
        <w:tblStyle w:val="9"/>
        <w:tblW w:w="975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4443"/>
        <w:gridCol w:w="1134"/>
        <w:gridCol w:w="1276"/>
        <w:gridCol w:w="290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单位名称</w:t>
            </w:r>
          </w:p>
        </w:tc>
        <w:tc>
          <w:tcPr>
            <w:tcW w:w="1134"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单位性质</w:t>
            </w:r>
          </w:p>
        </w:tc>
        <w:tc>
          <w:tcPr>
            <w:tcW w:w="1276"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单位规格</w:t>
            </w:r>
          </w:p>
        </w:tc>
        <w:tc>
          <w:tcPr>
            <w:tcW w:w="2902" w:type="dxa"/>
            <w:vMerge w:val="restart"/>
            <w:shd w:val="clear" w:color="auto" w:fill="auto"/>
            <w:vAlign w:val="center"/>
          </w:tcPr>
          <w:p>
            <w:pPr>
              <w:spacing w:line="584" w:lineRule="exact"/>
              <w:jc w:val="center"/>
              <w:rPr>
                <w:rFonts w:ascii="Times New Roman" w:hAnsi="Times New Roman" w:eastAsia="仿宋_GB2312" w:cs="Times New Roman"/>
                <w:b/>
                <w:szCs w:val="24"/>
              </w:rPr>
            </w:pPr>
            <w:r>
              <w:rPr>
                <w:rFonts w:ascii="Times New Roman" w:hAnsi="Times New Roman" w:eastAsia="仿宋_GB2312" w:cs="Times New Roman"/>
                <w:b/>
                <w:szCs w:val="24"/>
              </w:rP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84" w:hRule="atLeast"/>
          <w:tblHeader/>
          <w:jc w:val="center"/>
        </w:trPr>
        <w:tc>
          <w:tcPr>
            <w:tcW w:w="4443"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1134"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1276"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c>
          <w:tcPr>
            <w:tcW w:w="2902" w:type="dxa"/>
            <w:vMerge w:val="continue"/>
            <w:shd w:val="clear" w:color="auto" w:fill="auto"/>
            <w:vAlign w:val="center"/>
          </w:tcPr>
          <w:p>
            <w:pPr>
              <w:spacing w:line="584" w:lineRule="exact"/>
              <w:jc w:val="left"/>
              <w:outlineLvl w:val="0"/>
              <w:rPr>
                <w:rFonts w:ascii="Times New Roman" w:hAnsi="Times New Roman" w:eastAsia="仿宋_GB2312" w:cs="Times New Roman"/>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27" w:hRule="atLeast"/>
          <w:jc w:val="center"/>
        </w:trPr>
        <w:tc>
          <w:tcPr>
            <w:tcW w:w="4443" w:type="dxa"/>
            <w:shd w:val="clear" w:color="auto" w:fill="auto"/>
            <w:vAlign w:val="center"/>
          </w:tcPr>
          <w:p>
            <w:pPr>
              <w:spacing w:line="584" w:lineRule="exact"/>
              <w:jc w:val="center"/>
              <w:rPr>
                <w:rFonts w:ascii="Times New Roman" w:hAnsi="Times New Roman" w:eastAsia="仿宋_GB2312" w:cs="Times New Roman"/>
                <w:b/>
              </w:rPr>
            </w:pPr>
            <w:r>
              <w:rPr>
                <w:rFonts w:hint="eastAsia" w:ascii="Times New Roman" w:hAnsi="Times New Roman" w:eastAsia="仿宋_GB2312" w:cs="Times New Roman"/>
                <w:b/>
              </w:rPr>
              <w:t>中国共产党永清县纪律检查委员会</w:t>
            </w:r>
          </w:p>
        </w:tc>
        <w:tc>
          <w:tcPr>
            <w:tcW w:w="1134" w:type="dxa"/>
            <w:shd w:val="clear" w:color="auto" w:fill="auto"/>
            <w:vAlign w:val="center"/>
          </w:tcPr>
          <w:p>
            <w:pPr>
              <w:spacing w:line="584" w:lineRule="exact"/>
              <w:jc w:val="center"/>
              <w:rPr>
                <w:rFonts w:ascii="Times New Roman" w:hAnsi="Times New Roman" w:eastAsia="仿宋_GB2312" w:cs="Times New Roman"/>
                <w:b/>
              </w:rPr>
            </w:pPr>
            <w:r>
              <w:rPr>
                <w:rFonts w:hint="eastAsia" w:ascii="Times New Roman" w:hAnsi="Times New Roman" w:eastAsia="仿宋_GB2312" w:cs="Times New Roman"/>
                <w:b/>
              </w:rPr>
              <w:t>行政</w:t>
            </w:r>
          </w:p>
        </w:tc>
        <w:tc>
          <w:tcPr>
            <w:tcW w:w="1276" w:type="dxa"/>
            <w:shd w:val="clear" w:color="auto" w:fill="auto"/>
            <w:vAlign w:val="center"/>
          </w:tcPr>
          <w:p>
            <w:pPr>
              <w:spacing w:line="584" w:lineRule="exact"/>
              <w:jc w:val="center"/>
              <w:rPr>
                <w:rFonts w:ascii="Times New Roman" w:hAnsi="Times New Roman" w:eastAsia="仿宋_GB2312" w:cs="Times New Roman"/>
                <w:b/>
              </w:rPr>
            </w:pPr>
            <w:r>
              <w:rPr>
                <w:rFonts w:hint="eastAsia" w:ascii="Times New Roman" w:hAnsi="Times New Roman" w:eastAsia="仿宋_GB2312" w:cs="Times New Roman"/>
                <w:b/>
              </w:rPr>
              <w:t>副处级</w:t>
            </w:r>
          </w:p>
        </w:tc>
        <w:tc>
          <w:tcPr>
            <w:tcW w:w="2902" w:type="dxa"/>
            <w:shd w:val="clear" w:color="auto" w:fill="auto"/>
            <w:vAlign w:val="center"/>
          </w:tcPr>
          <w:p>
            <w:pPr>
              <w:spacing w:line="584" w:lineRule="exact"/>
              <w:jc w:val="center"/>
              <w:rPr>
                <w:rFonts w:ascii="Times New Roman" w:hAnsi="Times New Roman" w:eastAsia="仿宋_GB2312" w:cs="Times New Roman"/>
                <w:b/>
              </w:rPr>
            </w:pPr>
            <w:r>
              <w:rPr>
                <w:rFonts w:hint="eastAsia" w:ascii="Times New Roman" w:hAnsi="Times New Roman" w:eastAsia="仿宋_GB2312" w:cs="Times New Roman"/>
                <w:b/>
              </w:rPr>
              <w:t>财政拔款(行政)</w:t>
            </w:r>
          </w:p>
        </w:tc>
      </w:tr>
    </w:tbl>
    <w:p>
      <w:pPr>
        <w:spacing w:line="584" w:lineRule="exact"/>
        <w:ind w:firstLine="640" w:firstLineChars="200"/>
        <w:rPr>
          <w:rFonts w:ascii="Times New Roman" w:hAnsi="Times New Roman" w:eastAsia="黑体" w:cs="Times New Roman"/>
          <w:sz w:val="32"/>
          <w:szCs w:val="32"/>
        </w:rPr>
      </w:pPr>
      <w:r>
        <w:rPr>
          <w:rFonts w:ascii="Times New Roman" w:hAnsi="黑体" w:eastAsia="黑体" w:cs="Times New Roman"/>
          <w:sz w:val="32"/>
          <w:szCs w:val="32"/>
        </w:rPr>
        <w:t>二、部门预算安排的总体情况</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按照预算管理有关规定，目前我</w:t>
      </w:r>
      <w:r>
        <w:rPr>
          <w:rFonts w:hint="eastAsia" w:ascii="Times New Roman" w:hAnsi="Times New Roman" w:eastAsia="仿宋_GB2312" w:cs="Times New Roman"/>
          <w:sz w:val="32"/>
          <w:szCs w:val="32"/>
        </w:rPr>
        <w:t>县</w:t>
      </w:r>
      <w:r>
        <w:rPr>
          <w:rFonts w:ascii="Times New Roman" w:hAnsi="Times New Roman" w:eastAsia="仿宋_GB2312" w:cs="Times New Roman"/>
          <w:sz w:val="32"/>
          <w:szCs w:val="32"/>
        </w:rPr>
        <w:t>部门预算的编制实行综合预算制度，即全部收入和支出都反映在预算中。</w:t>
      </w:r>
      <w:r>
        <w:rPr>
          <w:rFonts w:hint="eastAsia" w:ascii="仿宋_GB2312" w:hAnsi="仿宋" w:eastAsia="仿宋_GB2312" w:cs="仿宋"/>
          <w:sz w:val="32"/>
          <w:szCs w:val="32"/>
        </w:rPr>
        <w:t>中国共产党永清县纪律检查委员会机关的收支包含在部门预算中</w:t>
      </w:r>
      <w:r>
        <w:rPr>
          <w:rFonts w:ascii="Times New Roman" w:hAnsi="Times New Roman" w:eastAsia="仿宋_GB2312" w:cs="Times New Roman"/>
          <w:sz w:val="32"/>
          <w:szCs w:val="32"/>
        </w:rPr>
        <w:t>。</w:t>
      </w:r>
    </w:p>
    <w:p>
      <w:pPr>
        <w:autoSpaceDE w:val="0"/>
        <w:autoSpaceDN w:val="0"/>
        <w:adjustRightInd w:val="0"/>
        <w:spacing w:line="584" w:lineRule="exact"/>
        <w:ind w:firstLine="630" w:firstLineChars="196"/>
        <w:jc w:val="left"/>
        <w:rPr>
          <w:rFonts w:ascii="Times New Roman" w:hAnsi="Times New Roman" w:eastAsia="楷体_GB2312" w:cs="Times New Roman"/>
          <w:b/>
          <w:sz w:val="32"/>
          <w:szCs w:val="32"/>
        </w:rPr>
      </w:pPr>
      <w:r>
        <w:rPr>
          <w:rFonts w:ascii="Times New Roman" w:hAnsi="Times New Roman" w:eastAsia="楷体_GB2312" w:cs="Times New Roman"/>
          <w:b/>
          <w:sz w:val="32"/>
          <w:szCs w:val="32"/>
        </w:rPr>
        <w:t>1、收入说明</w:t>
      </w:r>
    </w:p>
    <w:p>
      <w:pPr>
        <w:rPr>
          <w:rFonts w:ascii="仿宋_GB2312" w:hAnsi="宋体" w:eastAsia="仿宋_GB2312" w:cs="宋体"/>
          <w:sz w:val="32"/>
          <w:szCs w:val="32"/>
        </w:rPr>
      </w:pPr>
      <w:r>
        <w:rPr>
          <w:rFonts w:hint="eastAsia" w:ascii="仿宋_GB2312" w:hAnsi="宋体" w:eastAsia="仿宋_GB2312" w:cs="宋体"/>
          <w:sz w:val="32"/>
          <w:szCs w:val="32"/>
        </w:rPr>
        <w:t>反映本部门当年全部收入。2021年预算收入2128.70万元，其中：一般公共预算收入2128.70万元，基金预算收入</w:t>
      </w:r>
      <w:r>
        <w:rPr>
          <w:rFonts w:ascii="仿宋_GB2312" w:hAnsi="宋体" w:eastAsia="仿宋_GB2312" w:cs="宋体"/>
          <w:sz w:val="32"/>
          <w:szCs w:val="32"/>
        </w:rPr>
        <w:t>0</w:t>
      </w:r>
      <w:r>
        <w:rPr>
          <w:rFonts w:hint="eastAsia" w:ascii="仿宋_GB2312" w:hAnsi="宋体" w:eastAsia="仿宋_GB2312" w:cs="宋体"/>
          <w:sz w:val="32"/>
          <w:szCs w:val="32"/>
        </w:rPr>
        <w:t>万元，财政专户核拔收入</w:t>
      </w:r>
      <w:r>
        <w:rPr>
          <w:rFonts w:ascii="仿宋_GB2312" w:hAnsi="宋体" w:eastAsia="仿宋_GB2312" w:cs="宋体"/>
          <w:sz w:val="32"/>
          <w:szCs w:val="32"/>
        </w:rPr>
        <w:t>0</w:t>
      </w:r>
      <w:r>
        <w:rPr>
          <w:rFonts w:hint="eastAsia" w:ascii="仿宋_GB2312" w:hAnsi="宋体" w:eastAsia="仿宋_GB2312" w:cs="宋体"/>
          <w:sz w:val="32"/>
          <w:szCs w:val="32"/>
        </w:rPr>
        <w:t>万元，其他来源收入</w:t>
      </w:r>
      <w:r>
        <w:rPr>
          <w:rFonts w:ascii="仿宋_GB2312" w:hAnsi="宋体" w:eastAsia="仿宋_GB2312" w:cs="宋体"/>
          <w:sz w:val="32"/>
          <w:szCs w:val="32"/>
        </w:rPr>
        <w:t>0</w:t>
      </w:r>
      <w:r>
        <w:rPr>
          <w:rFonts w:hint="eastAsia" w:ascii="仿宋_GB2312" w:hAnsi="宋体" w:eastAsia="仿宋_GB2312" w:cs="宋体"/>
          <w:sz w:val="32"/>
          <w:szCs w:val="32"/>
        </w:rPr>
        <w:t>万元。</w:t>
      </w:r>
    </w:p>
    <w:p>
      <w:pPr>
        <w:spacing w:line="584" w:lineRule="exact"/>
        <w:ind w:firstLine="640"/>
        <w:rPr>
          <w:rFonts w:ascii="Times New Roman" w:hAnsi="Times New Roman" w:eastAsia="楷体_GB2312" w:cs="Times New Roman"/>
          <w:b/>
          <w:sz w:val="32"/>
          <w:szCs w:val="32"/>
        </w:rPr>
      </w:pPr>
      <w:r>
        <w:rPr>
          <w:rFonts w:ascii="Times New Roman" w:hAnsi="Times New Roman" w:eastAsia="仿宋_GB2312" w:cs="Times New Roman"/>
          <w:b/>
          <w:sz w:val="32"/>
          <w:szCs w:val="32"/>
        </w:rPr>
        <w:t>2</w:t>
      </w:r>
      <w:r>
        <w:rPr>
          <w:rFonts w:ascii="Times New Roman" w:hAnsi="Times New Roman" w:eastAsia="楷体_GB2312" w:cs="Times New Roman"/>
          <w:b/>
          <w:sz w:val="32"/>
          <w:szCs w:val="32"/>
        </w:rPr>
        <w:t>、支出说明</w:t>
      </w:r>
    </w:p>
    <w:p>
      <w:pPr>
        <w:rPr>
          <w:rFonts w:ascii="仿宋_GB2312" w:hAnsi="宋体" w:eastAsia="仿宋_GB2312" w:cs="宋体"/>
          <w:sz w:val="32"/>
          <w:szCs w:val="32"/>
        </w:rPr>
      </w:pPr>
      <w:r>
        <w:rPr>
          <w:rFonts w:hint="eastAsia" w:ascii="仿宋_GB2312" w:hAnsi="宋体" w:eastAsia="仿宋_GB2312" w:cs="宋体"/>
          <w:sz w:val="32"/>
          <w:szCs w:val="32"/>
        </w:rPr>
        <w:t>收支预算总表支出栏、基本支出表、项目支出表按经济分类和支出功能分类科目编制，反映中国共产党永清县纪律检查委员会</w:t>
      </w:r>
      <w:r>
        <w:rPr>
          <w:rFonts w:ascii="仿宋_GB2312" w:hAnsi="宋体" w:eastAsia="仿宋_GB2312" w:cs="宋体"/>
          <w:sz w:val="32"/>
          <w:szCs w:val="32"/>
        </w:rPr>
        <w:t>20</w:t>
      </w:r>
      <w:r>
        <w:rPr>
          <w:rFonts w:hint="eastAsia" w:ascii="仿宋_GB2312" w:hAnsi="宋体" w:eastAsia="仿宋_GB2312" w:cs="宋体"/>
          <w:sz w:val="32"/>
          <w:szCs w:val="32"/>
        </w:rPr>
        <w:t>21年度部门预算中支出预算的总体情况。</w:t>
      </w:r>
      <w:r>
        <w:rPr>
          <w:rFonts w:ascii="仿宋_GB2312" w:hAnsi="宋体" w:eastAsia="仿宋_GB2312" w:cs="宋体"/>
          <w:sz w:val="32"/>
          <w:szCs w:val="32"/>
        </w:rPr>
        <w:t>20</w:t>
      </w:r>
      <w:r>
        <w:rPr>
          <w:rFonts w:hint="eastAsia" w:ascii="仿宋_GB2312" w:hAnsi="宋体" w:eastAsia="仿宋_GB2312" w:cs="宋体"/>
          <w:sz w:val="32"/>
          <w:szCs w:val="32"/>
        </w:rPr>
        <w:t>21年支出预算2128.70万元，其中基本支出1571.15万元，包括人员类项目经费1390.74万元和运转公用项目经费180.41万元；运转类其他及特定目标项目支出557.55万元，包括本级支出，主要为纪律审查项目、巡察工作项目、乡镇纪律审查项目经费等。</w:t>
      </w:r>
    </w:p>
    <w:p>
      <w:pPr>
        <w:spacing w:line="584" w:lineRule="exact"/>
        <w:ind w:firstLine="640"/>
        <w:rPr>
          <w:rFonts w:ascii="Times New Roman" w:hAnsi="Times New Roman" w:eastAsia="楷体_GB2312" w:cs="Times New Roman"/>
          <w:b/>
          <w:sz w:val="32"/>
          <w:szCs w:val="32"/>
        </w:rPr>
      </w:pPr>
      <w:r>
        <w:rPr>
          <w:rFonts w:ascii="Times New Roman" w:hAnsi="Times New Roman" w:eastAsia="楷体_GB2312" w:cs="Times New Roman"/>
          <w:b/>
          <w:sz w:val="32"/>
          <w:szCs w:val="32"/>
        </w:rPr>
        <w:t>3、比上年增减情况</w:t>
      </w:r>
    </w:p>
    <w:p>
      <w:pPr>
        <w:ind w:firstLine="640"/>
        <w:rPr>
          <w:rFonts w:ascii="仿宋_GB2312" w:hAnsi="宋体" w:eastAsia="仿宋_GB2312" w:cs="宋体"/>
          <w:sz w:val="32"/>
          <w:szCs w:val="32"/>
        </w:rPr>
      </w:pPr>
      <w:r>
        <w:rPr>
          <w:rFonts w:ascii="仿宋_GB2312" w:hAnsi="宋体" w:eastAsia="仿宋_GB2312" w:cs="宋体"/>
          <w:sz w:val="32"/>
          <w:szCs w:val="32"/>
        </w:rPr>
        <w:t>20</w:t>
      </w:r>
      <w:r>
        <w:rPr>
          <w:rFonts w:hint="eastAsia" w:ascii="仿宋_GB2312" w:hAnsi="宋体" w:eastAsia="仿宋_GB2312" w:cs="宋体"/>
          <w:sz w:val="32"/>
          <w:szCs w:val="32"/>
        </w:rPr>
        <w:t>21年预算收支安排2128.70万元，较2020年预算减少130.44万元，其中：基本支出增加12.28万元，主要为人员经费支出；项目支出减少142.72万元，主要是为纪律审查和乡镇纪律审查项目支出。</w:t>
      </w:r>
    </w:p>
    <w:p>
      <w:pPr>
        <w:autoSpaceDE w:val="0"/>
        <w:autoSpaceDN w:val="0"/>
        <w:adjustRightInd w:val="0"/>
        <w:spacing w:line="584" w:lineRule="exact"/>
        <w:ind w:left="198"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三、机关运行经费安排情况</w:t>
      </w:r>
    </w:p>
    <w:p>
      <w:pPr>
        <w:ind w:firstLine="640"/>
        <w:rPr>
          <w:rFonts w:ascii="仿宋_GB2312" w:hAnsi="宋体" w:eastAsia="仿宋_GB2312" w:cs="宋体"/>
          <w:sz w:val="32"/>
          <w:szCs w:val="32"/>
        </w:rPr>
      </w:pPr>
      <w:r>
        <w:rPr>
          <w:rFonts w:ascii="仿宋_GB2312" w:hAnsi="宋体" w:eastAsia="仿宋_GB2312" w:cs="宋体"/>
          <w:sz w:val="32"/>
          <w:szCs w:val="32"/>
        </w:rPr>
        <w:t>202</w:t>
      </w:r>
      <w:r>
        <w:rPr>
          <w:rFonts w:hint="eastAsia" w:ascii="仿宋_GB2312" w:hAnsi="宋体" w:eastAsia="仿宋_GB2312" w:cs="宋体"/>
          <w:sz w:val="32"/>
          <w:szCs w:val="32"/>
        </w:rPr>
        <w:t>1</w:t>
      </w:r>
      <w:r>
        <w:rPr>
          <w:rFonts w:ascii="仿宋_GB2312" w:hAnsi="宋体" w:eastAsia="仿宋_GB2312" w:cs="宋体"/>
          <w:sz w:val="32"/>
          <w:szCs w:val="32"/>
        </w:rPr>
        <w:t>年，</w:t>
      </w:r>
      <w:r>
        <w:rPr>
          <w:rFonts w:ascii="Times New Roman" w:hAnsi="Times New Roman" w:eastAsia="仿宋_GB2312" w:cs="Times New Roman"/>
          <w:sz w:val="32"/>
          <w:szCs w:val="32"/>
        </w:rPr>
        <w:t>我</w:t>
      </w:r>
      <w:r>
        <w:rPr>
          <w:rFonts w:hint="eastAsia" w:ascii="Times New Roman" w:hAnsi="Times New Roman" w:eastAsia="仿宋_GB2312" w:cs="Times New Roman"/>
          <w:sz w:val="32"/>
          <w:szCs w:val="32"/>
        </w:rPr>
        <w:t>委</w:t>
      </w:r>
      <w:r>
        <w:rPr>
          <w:rFonts w:hint="eastAsia" w:ascii="仿宋_GB2312" w:hAnsi="宋体" w:eastAsia="仿宋_GB2312" w:cs="宋体"/>
          <w:sz w:val="32"/>
          <w:szCs w:val="32"/>
        </w:rPr>
        <w:t>机关运行经费共计安排180.41万元，主要用于机关办公区的日常维修、办公用房水电费、办公用房取暖费、办公用房物业管理费等日常运行支出。</w:t>
      </w:r>
    </w:p>
    <w:p>
      <w:pPr>
        <w:autoSpaceDE w:val="0"/>
        <w:autoSpaceDN w:val="0"/>
        <w:adjustRightInd w:val="0"/>
        <w:spacing w:line="584" w:lineRule="exact"/>
        <w:ind w:firstLine="627" w:firstLineChars="196"/>
        <w:jc w:val="left"/>
        <w:rPr>
          <w:rFonts w:ascii="Times New Roman" w:hAnsi="黑体" w:eastAsia="黑体" w:cs="Times New Roman"/>
          <w:sz w:val="32"/>
          <w:szCs w:val="32"/>
        </w:rPr>
      </w:pPr>
      <w:r>
        <w:rPr>
          <w:rFonts w:ascii="Times New Roman" w:hAnsi="黑体" w:eastAsia="黑体" w:cs="Times New Roman"/>
          <w:sz w:val="32"/>
          <w:szCs w:val="32"/>
        </w:rPr>
        <w:t>四、财政拨款“三公”经费预算情况及增减变化原因</w:t>
      </w:r>
    </w:p>
    <w:p>
      <w:pPr>
        <w:ind w:firstLine="640"/>
        <w:rPr>
          <w:rFonts w:ascii="仿宋_GB2312" w:hAnsi="宋体" w:eastAsia="仿宋_GB2312" w:cs="宋体"/>
          <w:sz w:val="32"/>
          <w:szCs w:val="32"/>
        </w:rPr>
      </w:pPr>
      <w:r>
        <w:rPr>
          <w:rFonts w:ascii="仿宋_GB2312" w:hAnsi="宋体" w:eastAsia="仿宋_GB2312" w:cs="宋体"/>
          <w:sz w:val="32"/>
          <w:szCs w:val="32"/>
        </w:rPr>
        <w:t>20</w:t>
      </w:r>
      <w:r>
        <w:rPr>
          <w:rFonts w:hint="eastAsia" w:ascii="仿宋_GB2312" w:hAnsi="宋体" w:eastAsia="仿宋_GB2312" w:cs="宋体"/>
          <w:sz w:val="32"/>
          <w:szCs w:val="32"/>
        </w:rPr>
        <w:t>21年，我</w:t>
      </w:r>
      <w:r>
        <w:rPr>
          <w:rFonts w:hint="eastAsia" w:ascii="Times New Roman" w:hAnsi="Times New Roman" w:eastAsia="仿宋_GB2312" w:cs="Times New Roman"/>
          <w:sz w:val="32"/>
          <w:szCs w:val="32"/>
        </w:rPr>
        <w:t>部门</w:t>
      </w:r>
      <w:r>
        <w:rPr>
          <w:rFonts w:ascii="Times New Roman" w:hAnsi="Times New Roman" w:eastAsia="仿宋_GB2312" w:cs="Times New Roman"/>
          <w:sz w:val="32"/>
          <w:szCs w:val="32"/>
        </w:rPr>
        <w:t>财政拨款</w:t>
      </w:r>
      <w:r>
        <w:rPr>
          <w:rFonts w:hint="eastAsia" w:ascii="仿宋_GB2312" w:hAnsi="宋体" w:eastAsia="仿宋_GB2312" w:cs="宋体"/>
          <w:sz w:val="32"/>
          <w:szCs w:val="32"/>
        </w:rPr>
        <w:t>“三公”经费预算安排</w:t>
      </w:r>
      <w:r>
        <w:rPr>
          <w:rFonts w:hint="eastAsia" w:eastAsia="仿宋_GB2312" w:cs="宋体"/>
          <w:sz w:val="32"/>
          <w:szCs w:val="32"/>
        </w:rPr>
        <w:t>3.37</w:t>
      </w:r>
      <w:r>
        <w:rPr>
          <w:rFonts w:hint="eastAsia" w:ascii="仿宋_GB2312" w:hAnsi="宋体" w:eastAsia="仿宋_GB2312" w:cs="宋体"/>
          <w:sz w:val="32"/>
          <w:szCs w:val="32"/>
        </w:rPr>
        <w:t>万元，其中因公出国（境）费</w:t>
      </w:r>
      <w:r>
        <w:rPr>
          <w:rFonts w:ascii="仿宋_GB2312" w:hAnsi="宋体" w:eastAsia="仿宋_GB2312" w:cs="宋体"/>
          <w:sz w:val="32"/>
          <w:szCs w:val="32"/>
        </w:rPr>
        <w:t>0</w:t>
      </w:r>
      <w:r>
        <w:rPr>
          <w:rFonts w:hint="eastAsia" w:ascii="仿宋_GB2312" w:hAnsi="宋体" w:eastAsia="仿宋_GB2312" w:cs="宋体"/>
          <w:sz w:val="32"/>
          <w:szCs w:val="32"/>
        </w:rPr>
        <w:t>万元；公务用车购置及运维费2.89万元（其中：公务用车购置费为</w:t>
      </w:r>
      <w:r>
        <w:rPr>
          <w:rFonts w:ascii="仿宋_GB2312" w:hAnsi="宋体" w:eastAsia="仿宋_GB2312" w:cs="宋体"/>
          <w:sz w:val="32"/>
          <w:szCs w:val="32"/>
        </w:rPr>
        <w:t>0</w:t>
      </w:r>
      <w:r>
        <w:rPr>
          <w:rFonts w:hint="eastAsia" w:ascii="仿宋_GB2312" w:hAnsi="宋体" w:eastAsia="仿宋_GB2312" w:cs="宋体"/>
          <w:sz w:val="32"/>
          <w:szCs w:val="32"/>
        </w:rPr>
        <w:t>万元，公务用车运维费2.89万元）；公务接待费</w:t>
      </w:r>
      <w:r>
        <w:rPr>
          <w:rFonts w:ascii="仿宋_GB2312" w:hAnsi="宋体" w:eastAsia="仿宋_GB2312" w:cs="宋体"/>
          <w:sz w:val="32"/>
          <w:szCs w:val="32"/>
        </w:rPr>
        <w:t>0.</w:t>
      </w:r>
      <w:r>
        <w:rPr>
          <w:rFonts w:hint="eastAsia" w:ascii="仿宋_GB2312" w:hAnsi="宋体" w:eastAsia="仿宋_GB2312" w:cs="宋体"/>
          <w:sz w:val="32"/>
          <w:szCs w:val="32"/>
        </w:rPr>
        <w:t>48万元。与</w:t>
      </w:r>
      <w:r>
        <w:rPr>
          <w:rFonts w:ascii="仿宋_GB2312" w:hAnsi="宋体" w:eastAsia="仿宋_GB2312" w:cs="宋体"/>
          <w:sz w:val="32"/>
          <w:szCs w:val="32"/>
        </w:rPr>
        <w:t>20</w:t>
      </w:r>
      <w:r>
        <w:rPr>
          <w:rFonts w:hint="eastAsia" w:ascii="仿宋_GB2312" w:hAnsi="宋体" w:eastAsia="仿宋_GB2312" w:cs="宋体"/>
          <w:sz w:val="32"/>
          <w:szCs w:val="32"/>
        </w:rPr>
        <w:t>20年相比持平，</w:t>
      </w:r>
      <w:r>
        <w:rPr>
          <w:rFonts w:hint="eastAsia" w:ascii="Times New Roman" w:hAnsi="Times New Roman" w:eastAsia="仿宋_GB2312" w:cs="Times New Roman"/>
          <w:sz w:val="32"/>
          <w:szCs w:val="32"/>
        </w:rPr>
        <w:t>无增减变化。</w:t>
      </w:r>
    </w:p>
    <w:p>
      <w:pPr>
        <w:spacing w:line="584" w:lineRule="exact"/>
        <w:ind w:firstLine="640" w:firstLineChars="200"/>
        <w:rPr>
          <w:rFonts w:ascii="Times New Roman" w:hAnsi="黑体" w:eastAsia="黑体" w:cs="Times New Roman"/>
          <w:sz w:val="32"/>
          <w:szCs w:val="32"/>
        </w:rPr>
      </w:pPr>
      <w:bookmarkStart w:id="0" w:name="_Toc471398463"/>
      <w:r>
        <w:rPr>
          <w:rFonts w:ascii="Times New Roman" w:hAnsi="黑体" w:eastAsia="黑体" w:cs="Times New Roman"/>
          <w:sz w:val="32"/>
          <w:szCs w:val="32"/>
        </w:rPr>
        <w:t>五、绩效预算信息</w:t>
      </w:r>
    </w:p>
    <w:p>
      <w:pPr>
        <w:spacing w:line="584" w:lineRule="exact"/>
        <w:ind w:firstLine="640" w:firstLineChars="200"/>
        <w:rPr>
          <w:rFonts w:ascii="Times New Roman" w:hAnsi="黑体" w:eastAsia="黑体" w:cs="Times New Roman"/>
          <w:sz w:val="32"/>
          <w:szCs w:val="32"/>
        </w:rPr>
      </w:pPr>
      <w:r>
        <w:rPr>
          <w:rFonts w:hint="eastAsia" w:ascii="Times New Roman" w:hAnsi="黑体" w:eastAsia="黑体" w:cs="Times New Roman"/>
          <w:sz w:val="32"/>
          <w:szCs w:val="32"/>
        </w:rPr>
        <w:t>第一部分 部门整体绩效目标</w:t>
      </w:r>
    </w:p>
    <w:p>
      <w:pPr>
        <w:spacing w:line="584" w:lineRule="exact"/>
        <w:ind w:firstLine="643" w:firstLineChars="200"/>
        <w:rPr>
          <w:rFonts w:ascii="楷体_GB2312" w:hAnsi="黑体" w:eastAsia="楷体_GB2312" w:cs="Times New Roman"/>
          <w:b/>
          <w:sz w:val="32"/>
          <w:szCs w:val="32"/>
        </w:rPr>
      </w:pPr>
      <w:r>
        <w:rPr>
          <w:rFonts w:hint="eastAsia" w:ascii="楷体_GB2312" w:hAnsi="黑体" w:eastAsia="楷体_GB2312" w:cs="Times New Roman"/>
          <w:b/>
          <w:sz w:val="32"/>
          <w:szCs w:val="32"/>
        </w:rPr>
        <w:t>（一）总体绩效目标</w:t>
      </w:r>
    </w:p>
    <w:p>
      <w:pPr>
        <w:adjustRightInd w:val="0"/>
        <w:snapToGrid w:val="0"/>
        <w:spacing w:line="600" w:lineRule="exact"/>
        <w:ind w:firstLine="640" w:firstLineChars="200"/>
        <w:rPr>
          <w:rFonts w:ascii="仿宋_GB2312" w:hAnsi="宋体" w:eastAsia="仿宋_GB2312" w:cs="宋体"/>
          <w:sz w:val="32"/>
          <w:szCs w:val="32"/>
        </w:rPr>
      </w:pPr>
      <w:r>
        <w:rPr>
          <w:rFonts w:ascii="仿宋_GB2312" w:hAnsi="宋体" w:eastAsia="仿宋_GB2312" w:cs="宋体"/>
          <w:sz w:val="32"/>
          <w:szCs w:val="32"/>
        </w:rPr>
        <w:t>在加强党的政治建设、严明政治纪律和政治规矩上持续发力，坚决破除形式主义、官僚主</w:t>
      </w:r>
      <w:r>
        <w:rPr>
          <w:rFonts w:hint="eastAsia" w:ascii="仿宋_GB2312" w:hAnsi="宋体" w:eastAsia="仿宋_GB2312" w:cs="宋体"/>
          <w:sz w:val="32"/>
          <w:szCs w:val="32"/>
        </w:rPr>
        <w:t>义。</w:t>
      </w:r>
      <w:r>
        <w:rPr>
          <w:rFonts w:ascii="仿宋_GB2312" w:hAnsi="宋体" w:eastAsia="仿宋_GB2312" w:cs="宋体"/>
          <w:sz w:val="32"/>
          <w:szCs w:val="32"/>
        </w:rPr>
        <w:t>在深化纪检监察体制改革创新上持续发力，不断推动制度优势转化为治理效能，在履行好监督首要职责、做实做细日常监督上持续发力，真正把监督挺在前面；在履行好协助职责、督促推动主体责任落细落实上持续发力，推进全面从严治党进一步向基层延伸</w:t>
      </w:r>
      <w:r>
        <w:rPr>
          <w:rFonts w:hint="eastAsia" w:ascii="仿宋_GB2312" w:hAnsi="宋体" w:eastAsia="仿宋_GB2312" w:cs="宋体"/>
          <w:sz w:val="32"/>
          <w:szCs w:val="32"/>
        </w:rPr>
        <w:t>，</w:t>
      </w:r>
      <w:r>
        <w:rPr>
          <w:rFonts w:ascii="仿宋_GB2312" w:hAnsi="宋体" w:eastAsia="仿宋_GB2312" w:cs="宋体"/>
          <w:sz w:val="32"/>
          <w:szCs w:val="32"/>
        </w:rPr>
        <w:t>在有力削减存量、有效遏制增量上持续发力，巩固发展反腐败斗争压倒性胜利</w:t>
      </w:r>
      <w:r>
        <w:rPr>
          <w:rFonts w:hint="eastAsia" w:ascii="仿宋_GB2312" w:hAnsi="宋体" w:eastAsia="仿宋_GB2312" w:cs="宋体"/>
          <w:sz w:val="32"/>
          <w:szCs w:val="32"/>
        </w:rPr>
        <w:t>；</w:t>
      </w:r>
      <w:r>
        <w:rPr>
          <w:rFonts w:ascii="仿宋_GB2312" w:hAnsi="宋体" w:eastAsia="仿宋_GB2312" w:cs="宋体"/>
          <w:sz w:val="32"/>
          <w:szCs w:val="32"/>
        </w:rPr>
        <w:t>在整治群众身边腐败和作风问题上持续发力，切实增强人民群众的获得感、幸福感和安全感；在加强干部队伍自身建设上持续发力，努力打造一支政治过硬、本领高强的纪检监察铁军。</w:t>
      </w:r>
    </w:p>
    <w:p>
      <w:pPr>
        <w:spacing w:line="584" w:lineRule="exact"/>
        <w:ind w:firstLine="643" w:firstLineChars="200"/>
        <w:rPr>
          <w:rFonts w:ascii="楷体_GB2312" w:hAnsi="黑体" w:eastAsia="楷体_GB2312" w:cs="Times New Roman"/>
          <w:b/>
          <w:sz w:val="32"/>
          <w:szCs w:val="32"/>
        </w:rPr>
      </w:pPr>
      <w:r>
        <w:rPr>
          <w:rFonts w:hint="eastAsia" w:ascii="楷体_GB2312" w:hAnsi="黑体" w:eastAsia="楷体_GB2312" w:cs="Times New Roman"/>
          <w:b/>
          <w:sz w:val="32"/>
          <w:szCs w:val="32"/>
        </w:rPr>
        <w:t>（二）分项绩效目标</w:t>
      </w:r>
    </w:p>
    <w:p>
      <w:pPr>
        <w:spacing w:beforeLines="50" w:afterLines="50" w:line="580" w:lineRule="exact"/>
        <w:ind w:firstLine="629"/>
        <w:rPr>
          <w:rFonts w:ascii="仿宋_GB2312" w:hAnsi="黑体" w:eastAsia="仿宋_GB2312"/>
          <w:bCs/>
          <w:sz w:val="32"/>
          <w:szCs w:val="32"/>
        </w:rPr>
      </w:pPr>
      <w:r>
        <w:rPr>
          <w:rFonts w:hint="eastAsia" w:eastAsia="方正仿宋_GBK"/>
          <w:b/>
          <w:bCs/>
          <w:sz w:val="32"/>
          <w:szCs w:val="32"/>
        </w:rPr>
        <w:t>1、办案问责</w:t>
      </w:r>
    </w:p>
    <w:p>
      <w:pPr>
        <w:spacing w:line="60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绩效目标</w:t>
      </w:r>
      <w:r>
        <w:rPr>
          <w:rFonts w:ascii="仿宋_GB2312" w:hAnsi="宋体" w:eastAsia="仿宋_GB2312" w:cs="宋体"/>
          <w:sz w:val="32"/>
          <w:szCs w:val="32"/>
        </w:rPr>
        <w:t>:</w:t>
      </w:r>
      <w:r>
        <w:rPr>
          <w:rFonts w:hint="eastAsia" w:ascii="仿宋_GB2312" w:hAnsi="宋体" w:eastAsia="仿宋_GB2312" w:cs="宋体"/>
          <w:sz w:val="32"/>
          <w:szCs w:val="32"/>
        </w:rPr>
        <w:t xml:space="preserve"> 维护党纪国法尊严，坚决惩处腐败分子，有效遏制腐败现象</w:t>
      </w:r>
    </w:p>
    <w:p>
      <w:pPr>
        <w:spacing w:line="60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绩效指标</w:t>
      </w:r>
      <w:r>
        <w:rPr>
          <w:rFonts w:ascii="仿宋_GB2312" w:hAnsi="宋体" w:eastAsia="仿宋_GB2312" w:cs="宋体"/>
          <w:sz w:val="32"/>
          <w:szCs w:val="32"/>
        </w:rPr>
        <w:t>:</w:t>
      </w:r>
      <w:r>
        <w:rPr>
          <w:rFonts w:hint="eastAsia" w:ascii="仿宋_GB2312" w:hAnsi="宋体" w:eastAsia="仿宋_GB2312" w:cs="宋体"/>
          <w:sz w:val="32"/>
          <w:szCs w:val="32"/>
        </w:rPr>
        <w:t xml:space="preserve"> 纪律审查工作立结案达到85件，案件审查合格率在90%以上，乡镇纪律审查工作自办案及配合办案达10件，案件审查合格率在90%以上。</w:t>
      </w:r>
    </w:p>
    <w:p>
      <w:pPr>
        <w:spacing w:line="560" w:lineRule="exact"/>
        <w:ind w:firstLine="643" w:firstLineChars="200"/>
        <w:rPr>
          <w:rFonts w:ascii="仿宋" w:hAnsi="仿宋" w:eastAsia="仿宋"/>
          <w:b/>
          <w:bCs/>
          <w:sz w:val="32"/>
          <w:szCs w:val="32"/>
        </w:rPr>
      </w:pPr>
      <w:r>
        <w:rPr>
          <w:rFonts w:hint="eastAsia" w:ascii="仿宋" w:hAnsi="仿宋" w:eastAsia="仿宋"/>
          <w:b/>
          <w:bCs/>
          <w:sz w:val="32"/>
          <w:szCs w:val="32"/>
        </w:rPr>
        <w:t>2、</w:t>
      </w:r>
      <w:r>
        <w:rPr>
          <w:rFonts w:hint="eastAsia"/>
        </w:rPr>
        <w:t xml:space="preserve"> </w:t>
      </w:r>
      <w:r>
        <w:rPr>
          <w:rFonts w:hint="eastAsia" w:ascii="Times New Roman" w:hAnsi="Times New Roman" w:eastAsia="楷体_GB2312" w:cs="Times New Roman"/>
          <w:b/>
          <w:color w:val="000000" w:themeColor="text1"/>
          <w:spacing w:val="-8"/>
          <w:sz w:val="32"/>
          <w:szCs w:val="32"/>
        </w:rPr>
        <w:t>监督检查及巡视督查</w:t>
      </w:r>
    </w:p>
    <w:p>
      <w:pPr>
        <w:spacing w:line="600" w:lineRule="exact"/>
        <w:ind w:firstLine="640" w:firstLineChars="200"/>
        <w:rPr>
          <w:rFonts w:ascii="仿宋_GB2312" w:hAnsi="宋体" w:eastAsia="仿宋_GB2312" w:cs="宋体"/>
          <w:sz w:val="32"/>
          <w:szCs w:val="32"/>
        </w:rPr>
      </w:pPr>
      <w:r>
        <w:rPr>
          <w:rFonts w:ascii="仿宋_GB2312" w:hAnsi="宋体" w:eastAsia="仿宋_GB2312" w:cs="宋体"/>
          <w:sz w:val="32"/>
          <w:szCs w:val="32"/>
        </w:rPr>
        <w:t>绩效目标:</w:t>
      </w:r>
      <w:r>
        <w:rPr>
          <w:rFonts w:hint="eastAsia" w:ascii="仿宋_GB2312" w:hAnsi="宋体" w:eastAsia="仿宋_GB2312" w:cs="宋体"/>
          <w:sz w:val="32"/>
          <w:szCs w:val="32"/>
        </w:rPr>
        <w:t>加强党内监督，不断发挥政治巡察的“显微镜”和“探照灯”作用。</w:t>
      </w:r>
    </w:p>
    <w:p>
      <w:pPr>
        <w:spacing w:line="60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绩效指标：巡察单位数量达到10个，巡察工作完成率达到90%。</w:t>
      </w:r>
    </w:p>
    <w:p>
      <w:pPr>
        <w:spacing w:line="584" w:lineRule="exact"/>
        <w:ind w:firstLine="643" w:firstLineChars="200"/>
        <w:rPr>
          <w:rFonts w:ascii="楷体_GB2312" w:hAnsi="黑体" w:eastAsia="楷体_GB2312" w:cs="Times New Roman"/>
          <w:b/>
          <w:sz w:val="32"/>
          <w:szCs w:val="32"/>
        </w:rPr>
      </w:pPr>
      <w:r>
        <w:rPr>
          <w:rFonts w:hint="eastAsia" w:ascii="楷体_GB2312" w:hAnsi="黑体" w:eastAsia="楷体_GB2312" w:cs="Times New Roman"/>
          <w:b/>
          <w:sz w:val="32"/>
          <w:szCs w:val="32"/>
        </w:rPr>
        <w:t>（三）工作保障措施</w:t>
      </w:r>
    </w:p>
    <w:p>
      <w:pPr>
        <w:pStyle w:val="8"/>
        <w:shd w:val="clear" w:color="auto" w:fill="FFFFFF"/>
        <w:spacing w:line="560" w:lineRule="exact"/>
        <w:ind w:firstLine="640" w:firstLineChars="200"/>
        <w:jc w:val="both"/>
        <w:rPr>
          <w:rFonts w:ascii="仿宋_GB2312" w:hAnsi="宋体" w:eastAsia="仿宋_GB2312" w:cs="宋体"/>
          <w:kern w:val="2"/>
          <w:sz w:val="32"/>
          <w:szCs w:val="32"/>
        </w:rPr>
      </w:pPr>
      <w:r>
        <w:rPr>
          <w:rFonts w:hint="eastAsia" w:ascii="仿宋_GB2312" w:hAnsi="宋体" w:eastAsia="仿宋_GB2312" w:cs="宋体"/>
          <w:kern w:val="2"/>
          <w:sz w:val="32"/>
          <w:szCs w:val="32"/>
        </w:rPr>
        <w:t>1.</w:t>
      </w:r>
      <w:r>
        <w:rPr>
          <w:rFonts w:ascii="仿宋_GB2312" w:hAnsi="宋体" w:eastAsia="仿宋_GB2312" w:cs="宋体"/>
          <w:kern w:val="2"/>
          <w:sz w:val="32"/>
          <w:szCs w:val="32"/>
        </w:rPr>
        <w:t>完善制度</w:t>
      </w:r>
      <w:r>
        <w:rPr>
          <w:rFonts w:hint="eastAsia" w:ascii="仿宋_GB2312" w:hAnsi="宋体" w:eastAsia="仿宋_GB2312" w:cs="宋体"/>
          <w:kern w:val="2"/>
          <w:sz w:val="32"/>
          <w:szCs w:val="32"/>
        </w:rPr>
        <w:t>，建立高效</w:t>
      </w:r>
      <w:r>
        <w:rPr>
          <w:rFonts w:ascii="仿宋_GB2312" w:hAnsi="宋体" w:eastAsia="仿宋_GB2312" w:cs="宋体"/>
          <w:kern w:val="2"/>
          <w:sz w:val="32"/>
          <w:szCs w:val="32"/>
        </w:rPr>
        <w:t>工作机制</w:t>
      </w:r>
      <w:r>
        <w:rPr>
          <w:rFonts w:hint="eastAsia" w:ascii="仿宋_GB2312" w:hAnsi="宋体" w:eastAsia="仿宋_GB2312" w:cs="宋体"/>
          <w:kern w:val="2"/>
          <w:sz w:val="32"/>
          <w:szCs w:val="32"/>
        </w:rPr>
        <w:t>。</w:t>
      </w:r>
      <w:r>
        <w:rPr>
          <w:rFonts w:ascii="仿宋_GB2312" w:hAnsi="宋体" w:eastAsia="仿宋_GB2312" w:cs="宋体"/>
          <w:kern w:val="2"/>
          <w:sz w:val="32"/>
          <w:szCs w:val="32"/>
        </w:rPr>
        <w:t>通过内设机构改革</w:t>
      </w:r>
      <w:r>
        <w:rPr>
          <w:rFonts w:hint="eastAsia" w:ascii="仿宋_GB2312" w:hAnsi="宋体" w:eastAsia="仿宋_GB2312" w:cs="宋体"/>
          <w:kern w:val="2"/>
          <w:sz w:val="32"/>
          <w:szCs w:val="32"/>
        </w:rPr>
        <w:t>，</w:t>
      </w:r>
      <w:r>
        <w:rPr>
          <w:rFonts w:ascii="仿宋_GB2312" w:hAnsi="宋体" w:eastAsia="仿宋_GB2312" w:cs="宋体"/>
          <w:kern w:val="2"/>
          <w:sz w:val="32"/>
          <w:szCs w:val="32"/>
        </w:rPr>
        <w:t>单独设立</w:t>
      </w:r>
      <w:r>
        <w:rPr>
          <w:rFonts w:hint="eastAsia" w:ascii="仿宋_GB2312" w:hAnsi="宋体" w:eastAsia="仿宋_GB2312" w:cs="宋体"/>
          <w:kern w:val="2"/>
          <w:sz w:val="32"/>
          <w:szCs w:val="32"/>
        </w:rPr>
        <w:t>6</w:t>
      </w:r>
      <w:r>
        <w:rPr>
          <w:rFonts w:ascii="仿宋_GB2312" w:hAnsi="宋体" w:eastAsia="仿宋_GB2312" w:cs="宋体"/>
          <w:kern w:val="2"/>
          <w:sz w:val="32"/>
          <w:szCs w:val="32"/>
        </w:rPr>
        <w:t>个监督检查室，</w:t>
      </w:r>
      <w:r>
        <w:rPr>
          <w:rFonts w:hint="eastAsia" w:ascii="仿宋_GB2312" w:hAnsi="宋体" w:eastAsia="仿宋_GB2312" w:cs="宋体"/>
          <w:kern w:val="2"/>
          <w:sz w:val="32"/>
          <w:szCs w:val="32"/>
        </w:rPr>
        <w:t>派驻五个纪检组，</w:t>
      </w:r>
      <w:r>
        <w:rPr>
          <w:rFonts w:ascii="仿宋_GB2312" w:hAnsi="宋体" w:eastAsia="仿宋_GB2312" w:cs="宋体"/>
          <w:kern w:val="2"/>
          <w:sz w:val="32"/>
          <w:szCs w:val="32"/>
        </w:rPr>
        <w:t>专职负责监督检查工作，构建权责清晰、衔接顺畅、协同高效的监督机制。</w:t>
      </w:r>
    </w:p>
    <w:p>
      <w:pPr>
        <w:pStyle w:val="8"/>
        <w:shd w:val="clear" w:color="auto" w:fill="FFFFFF"/>
        <w:spacing w:line="560" w:lineRule="exact"/>
        <w:ind w:firstLine="640" w:firstLineChars="200"/>
        <w:jc w:val="both"/>
        <w:rPr>
          <w:rFonts w:ascii="仿宋_GB2312" w:hAnsi="宋体" w:eastAsia="仿宋_GB2312" w:cs="宋体"/>
          <w:kern w:val="2"/>
          <w:sz w:val="32"/>
          <w:szCs w:val="32"/>
        </w:rPr>
      </w:pPr>
      <w:r>
        <w:rPr>
          <w:rFonts w:hint="eastAsia" w:ascii="仿宋_GB2312" w:hAnsi="宋体" w:eastAsia="仿宋_GB2312" w:cs="宋体"/>
          <w:kern w:val="2"/>
          <w:sz w:val="32"/>
          <w:szCs w:val="32"/>
        </w:rPr>
        <w:t>2、注重实效,加强预算绩效管理。落实全面预算绩效管理要求，将事前绩效评估、绩效目标设定、绩效跟踪、绩效评价及结果运用纳入预算编制、执行、监督全过程。围绕部门职责和事业发展规划设定</w:t>
      </w:r>
      <w:r>
        <w:rPr>
          <w:rFonts w:ascii="仿宋_GB2312" w:hAnsi="宋体" w:eastAsia="仿宋_GB2312" w:cs="宋体"/>
          <w:kern w:val="2"/>
          <w:sz w:val="32"/>
          <w:szCs w:val="32"/>
        </w:rPr>
        <w:t>绩效目标</w:t>
      </w:r>
      <w:r>
        <w:rPr>
          <w:rFonts w:hint="eastAsia" w:ascii="仿宋_GB2312" w:hAnsi="宋体" w:eastAsia="仿宋_GB2312" w:cs="宋体"/>
          <w:kern w:val="2"/>
          <w:sz w:val="32"/>
          <w:szCs w:val="32"/>
        </w:rPr>
        <w:t>，准确衡量部门整体及核心业务实施效果，</w:t>
      </w:r>
      <w:r>
        <w:rPr>
          <w:rFonts w:ascii="仿宋_GB2312" w:hAnsi="宋体" w:eastAsia="仿宋_GB2312" w:cs="宋体"/>
          <w:kern w:val="2"/>
          <w:sz w:val="32"/>
          <w:szCs w:val="32"/>
        </w:rPr>
        <w:t>按</w:t>
      </w:r>
      <w:r>
        <w:rPr>
          <w:rFonts w:hint="eastAsia" w:ascii="仿宋_GB2312" w:hAnsi="宋体" w:eastAsia="仿宋_GB2312" w:cs="宋体"/>
          <w:kern w:val="2"/>
          <w:sz w:val="32"/>
          <w:szCs w:val="32"/>
        </w:rPr>
        <w:t>要求开展部门预算绩效实时监控</w:t>
      </w:r>
      <w:r>
        <w:rPr>
          <w:rFonts w:ascii="仿宋_GB2312" w:hAnsi="宋体" w:eastAsia="仿宋_GB2312" w:cs="宋体"/>
          <w:kern w:val="2"/>
          <w:sz w:val="32"/>
          <w:szCs w:val="32"/>
        </w:rPr>
        <w:t>、绩效</w:t>
      </w:r>
      <w:r>
        <w:rPr>
          <w:rFonts w:hint="eastAsia" w:ascii="仿宋_GB2312" w:hAnsi="宋体" w:eastAsia="仿宋_GB2312" w:cs="宋体"/>
          <w:kern w:val="2"/>
          <w:sz w:val="32"/>
          <w:szCs w:val="32"/>
        </w:rPr>
        <w:t>自评和重点评价工作，对评价中发现的问题及时整改，推动提高部门整体绩效管理水平。</w:t>
      </w:r>
    </w:p>
    <w:p>
      <w:pPr>
        <w:pStyle w:val="8"/>
        <w:shd w:val="clear" w:color="auto" w:fill="FFFFFF"/>
        <w:spacing w:line="560" w:lineRule="exact"/>
        <w:ind w:firstLine="640" w:firstLineChars="200"/>
        <w:jc w:val="both"/>
        <w:rPr>
          <w:rFonts w:ascii="仿宋_GB2312" w:hAnsi="宋体" w:eastAsia="仿宋_GB2312" w:cs="宋体"/>
          <w:kern w:val="2"/>
          <w:sz w:val="32"/>
          <w:szCs w:val="32"/>
        </w:rPr>
      </w:pPr>
      <w:r>
        <w:rPr>
          <w:rFonts w:hint="eastAsia" w:ascii="仿宋_GB2312" w:hAnsi="宋体" w:eastAsia="仿宋_GB2312" w:cs="宋体"/>
          <w:kern w:val="2"/>
          <w:sz w:val="32"/>
          <w:szCs w:val="32"/>
        </w:rPr>
        <w:t>3</w:t>
      </w:r>
      <w:r>
        <w:rPr>
          <w:rFonts w:ascii="仿宋_GB2312" w:hAnsi="宋体" w:eastAsia="仿宋_GB2312" w:cs="宋体"/>
          <w:kern w:val="2"/>
          <w:sz w:val="32"/>
          <w:szCs w:val="32"/>
        </w:rPr>
        <w:t>.</w:t>
      </w:r>
      <w:r>
        <w:rPr>
          <w:rFonts w:hint="eastAsia" w:ascii="仿宋_GB2312" w:hAnsi="宋体" w:eastAsia="仿宋_GB2312" w:cs="宋体"/>
          <w:kern w:val="2"/>
          <w:sz w:val="32"/>
          <w:szCs w:val="32"/>
        </w:rPr>
        <w:t>精编预算，做好资金保障。</w:t>
      </w:r>
      <w:r>
        <w:rPr>
          <w:rFonts w:ascii="仿宋_GB2312" w:hAnsi="宋体" w:eastAsia="仿宋_GB2312" w:cs="宋体"/>
          <w:kern w:val="2"/>
          <w:sz w:val="32"/>
          <w:szCs w:val="32"/>
        </w:rPr>
        <w:t>保障部门履行职责所需经费、政府购买社会服务项目和一些绩效</w:t>
      </w:r>
      <w:r>
        <w:rPr>
          <w:rFonts w:hint="eastAsia" w:ascii="仿宋_GB2312" w:hAnsi="宋体" w:eastAsia="仿宋_GB2312" w:cs="宋体"/>
          <w:kern w:val="2"/>
          <w:sz w:val="32"/>
          <w:szCs w:val="32"/>
        </w:rPr>
        <w:t>评估</w:t>
      </w:r>
      <w:r>
        <w:rPr>
          <w:rFonts w:ascii="仿宋_GB2312" w:hAnsi="宋体" w:eastAsia="仿宋_GB2312" w:cs="宋体"/>
          <w:kern w:val="2"/>
          <w:sz w:val="32"/>
          <w:szCs w:val="32"/>
        </w:rPr>
        <w:t>结果较好的专项</w:t>
      </w:r>
      <w:r>
        <w:rPr>
          <w:rFonts w:hint="eastAsia" w:ascii="仿宋_GB2312" w:hAnsi="宋体" w:eastAsia="仿宋_GB2312" w:cs="宋体"/>
          <w:kern w:val="2"/>
          <w:sz w:val="32"/>
          <w:szCs w:val="32"/>
        </w:rPr>
        <w:t>项目</w:t>
      </w:r>
      <w:r>
        <w:rPr>
          <w:rFonts w:ascii="仿宋_GB2312" w:hAnsi="宋体" w:eastAsia="仿宋_GB2312" w:cs="宋体"/>
          <w:kern w:val="2"/>
          <w:sz w:val="32"/>
          <w:szCs w:val="32"/>
        </w:rPr>
        <w:t>，区分轻重缓急，统筹安排。</w:t>
      </w:r>
      <w:r>
        <w:rPr>
          <w:rFonts w:hint="eastAsia" w:ascii="仿宋_GB2312" w:hAnsi="宋体" w:eastAsia="仿宋_GB2312" w:cs="宋体"/>
          <w:kern w:val="2"/>
          <w:sz w:val="32"/>
          <w:szCs w:val="32"/>
        </w:rPr>
        <w:t>通过编细编实预算，优化支出结构，加快履行政府采购手续，按规定及时下达资金等多种措施，确保支出进度达标，</w:t>
      </w:r>
      <w:r>
        <w:rPr>
          <w:rFonts w:ascii="仿宋_GB2312" w:hAnsi="宋体" w:eastAsia="仿宋_GB2312" w:cs="宋体"/>
          <w:kern w:val="2"/>
          <w:sz w:val="32"/>
          <w:szCs w:val="32"/>
        </w:rPr>
        <w:t>及时发挥财政资金</w:t>
      </w:r>
      <w:r>
        <w:rPr>
          <w:rFonts w:hint="eastAsia" w:ascii="仿宋_GB2312" w:hAnsi="宋体" w:eastAsia="仿宋_GB2312" w:cs="宋体"/>
          <w:kern w:val="2"/>
          <w:sz w:val="32"/>
          <w:szCs w:val="32"/>
        </w:rPr>
        <w:t>效益</w:t>
      </w:r>
      <w:r>
        <w:rPr>
          <w:rFonts w:ascii="仿宋_GB2312" w:hAnsi="宋体" w:eastAsia="仿宋_GB2312" w:cs="宋体"/>
          <w:kern w:val="2"/>
          <w:sz w:val="32"/>
          <w:szCs w:val="32"/>
        </w:rPr>
        <w:t>。</w:t>
      </w:r>
    </w:p>
    <w:p>
      <w:pPr>
        <w:pStyle w:val="8"/>
        <w:shd w:val="clear" w:color="auto" w:fill="FFFFFF"/>
        <w:spacing w:line="560" w:lineRule="exact"/>
        <w:ind w:firstLine="640" w:firstLineChars="200"/>
        <w:jc w:val="both"/>
        <w:rPr>
          <w:rFonts w:ascii="仿宋_GB2312" w:hAnsi="宋体" w:eastAsia="仿宋_GB2312" w:cs="宋体"/>
          <w:kern w:val="2"/>
          <w:sz w:val="32"/>
          <w:szCs w:val="32"/>
        </w:rPr>
      </w:pPr>
      <w:r>
        <w:rPr>
          <w:rFonts w:hint="eastAsia" w:ascii="仿宋_GB2312" w:hAnsi="宋体" w:eastAsia="仿宋_GB2312" w:cs="宋体"/>
          <w:kern w:val="2"/>
          <w:sz w:val="32"/>
          <w:szCs w:val="32"/>
        </w:rPr>
        <w:t>4、完善工作机制，提高预算编制的合理性。成立预算绩效管理工作领导小组，加大宣传力度，强化预算绩效管理意识，加强机关预算资金使用的监督，促进预算绩效管理水平进一步提升.各业务主管科室参与到单位资金预算的编制、使用及评价中，使得单位每一名工作人员既是预算资金的编制者、使用者，也是预算资金的监督者。</w:t>
      </w:r>
    </w:p>
    <w:p>
      <w:pPr>
        <w:pStyle w:val="8"/>
        <w:shd w:val="clear" w:color="auto" w:fill="FFFFFF"/>
        <w:spacing w:line="560" w:lineRule="exact"/>
        <w:ind w:firstLine="640" w:firstLineChars="200"/>
        <w:jc w:val="both"/>
        <w:rPr>
          <w:rFonts w:ascii="仿宋_GB2312" w:hAnsi="宋体" w:eastAsia="仿宋_GB2312" w:cs="宋体"/>
          <w:kern w:val="2"/>
          <w:sz w:val="32"/>
          <w:szCs w:val="32"/>
        </w:rPr>
      </w:pPr>
      <w:r>
        <w:rPr>
          <w:rFonts w:hint="eastAsia" w:ascii="仿宋_GB2312" w:hAnsi="宋体" w:eastAsia="仿宋_GB2312" w:cs="宋体"/>
          <w:kern w:val="2"/>
          <w:sz w:val="32"/>
          <w:szCs w:val="32"/>
        </w:rPr>
        <w:t>5</w:t>
      </w:r>
      <w:r>
        <w:rPr>
          <w:rFonts w:ascii="仿宋_GB2312" w:hAnsi="宋体" w:eastAsia="仿宋_GB2312" w:cs="宋体"/>
          <w:kern w:val="2"/>
          <w:sz w:val="32"/>
          <w:szCs w:val="32"/>
        </w:rPr>
        <w:t>.</w:t>
      </w:r>
      <w:r>
        <w:rPr>
          <w:rFonts w:hint="eastAsia" w:ascii="仿宋_GB2312" w:hAnsi="宋体" w:eastAsia="仿宋_GB2312" w:cs="宋体"/>
          <w:kern w:val="2"/>
          <w:sz w:val="32"/>
          <w:szCs w:val="32"/>
        </w:rPr>
        <w:t>加强培训，提高工作业务能力。随着党和政府对反腐的重视程度不断加强，人民群众期的盼也越来越高，从中央到省、市、县坚持开展纪检监察业务培训，不断提高纪检监察队伍素质和服务</w:t>
      </w:r>
      <w:r>
        <w:rPr>
          <w:rFonts w:ascii="仿宋_GB2312" w:hAnsi="宋体" w:eastAsia="仿宋_GB2312" w:cs="宋体"/>
          <w:kern w:val="2"/>
          <w:sz w:val="32"/>
          <w:szCs w:val="32"/>
        </w:rPr>
        <w:t>能力</w:t>
      </w:r>
      <w:r>
        <w:rPr>
          <w:rFonts w:hint="eastAsia" w:ascii="仿宋_GB2312" w:hAnsi="宋体" w:eastAsia="仿宋_GB2312" w:cs="宋体"/>
          <w:kern w:val="2"/>
          <w:sz w:val="32"/>
          <w:szCs w:val="32"/>
        </w:rPr>
        <w:t>，提高预算资金的使用效率。</w:t>
      </w:r>
    </w:p>
    <w:p>
      <w:pPr>
        <w:pStyle w:val="8"/>
        <w:shd w:val="clear" w:color="auto" w:fill="FFFFFF"/>
        <w:spacing w:line="560" w:lineRule="exact"/>
        <w:ind w:firstLine="640" w:firstLineChars="200"/>
        <w:jc w:val="both"/>
        <w:rPr>
          <w:rFonts w:ascii="仿宋_GB2312" w:hAnsi="宋体" w:eastAsia="仿宋_GB2312" w:cs="宋体"/>
          <w:kern w:val="2"/>
          <w:sz w:val="32"/>
          <w:szCs w:val="32"/>
        </w:rPr>
      </w:pPr>
      <w:r>
        <w:rPr>
          <w:rFonts w:hint="eastAsia" w:ascii="仿宋_GB2312" w:hAnsi="宋体" w:eastAsia="仿宋_GB2312" w:cs="宋体"/>
          <w:kern w:val="2"/>
          <w:sz w:val="32"/>
          <w:szCs w:val="32"/>
        </w:rPr>
        <w:t>6、丰富手段，提高信息化水平。进一步完善纪检监察专网，信访举报平台，加强新媒体宣传及公众号发布等现代化信息手段，</w:t>
      </w:r>
      <w:r>
        <w:rPr>
          <w:rFonts w:ascii="仿宋_GB2312" w:hAnsi="宋体" w:eastAsia="仿宋_GB2312" w:cs="宋体"/>
          <w:kern w:val="2"/>
          <w:sz w:val="32"/>
          <w:szCs w:val="32"/>
        </w:rPr>
        <w:t>推动</w:t>
      </w:r>
      <w:r>
        <w:rPr>
          <w:rFonts w:hint="eastAsia" w:ascii="仿宋_GB2312" w:hAnsi="宋体" w:eastAsia="仿宋_GB2312" w:cs="宋体"/>
          <w:kern w:val="2"/>
          <w:sz w:val="32"/>
          <w:szCs w:val="32"/>
        </w:rPr>
        <w:t>纪检监察及巡察工作</w:t>
      </w:r>
      <w:r>
        <w:rPr>
          <w:rFonts w:ascii="仿宋_GB2312" w:hAnsi="宋体" w:eastAsia="仿宋_GB2312" w:cs="宋体"/>
          <w:kern w:val="2"/>
          <w:sz w:val="32"/>
          <w:szCs w:val="32"/>
        </w:rPr>
        <w:t>方式转变</w:t>
      </w:r>
      <w:r>
        <w:rPr>
          <w:rFonts w:hint="eastAsia" w:ascii="仿宋_GB2312" w:hAnsi="宋体" w:eastAsia="仿宋_GB2312" w:cs="宋体"/>
          <w:kern w:val="2"/>
          <w:sz w:val="32"/>
          <w:szCs w:val="32"/>
        </w:rPr>
        <w:t>，完满完成各项任务目标</w:t>
      </w:r>
      <w:r>
        <w:rPr>
          <w:rFonts w:ascii="仿宋_GB2312" w:hAnsi="宋体" w:eastAsia="仿宋_GB2312" w:cs="宋体"/>
          <w:kern w:val="2"/>
          <w:sz w:val="32"/>
          <w:szCs w:val="32"/>
        </w:rPr>
        <w:t>。</w:t>
      </w:r>
    </w:p>
    <w:p>
      <w:pPr>
        <w:spacing w:line="580" w:lineRule="exact"/>
        <w:ind w:firstLine="630"/>
        <w:rPr>
          <w:rFonts w:ascii="仿宋_GB2312" w:hAnsi="宋体" w:eastAsia="仿宋_GB2312" w:cs="宋体"/>
          <w:sz w:val="32"/>
          <w:szCs w:val="32"/>
        </w:rPr>
      </w:pPr>
      <w:r>
        <w:rPr>
          <w:rFonts w:hint="eastAsia" w:ascii="仿宋_GB2312" w:hAnsi="宋体" w:eastAsia="仿宋_GB2312" w:cs="宋体"/>
          <w:sz w:val="32"/>
          <w:szCs w:val="32"/>
        </w:rPr>
        <w:t>7、加强内控，规范财务资产管理。加强内部监督制度建设，设立</w:t>
      </w:r>
      <w:r>
        <w:rPr>
          <w:rFonts w:ascii="仿宋_GB2312" w:hAnsi="宋体" w:eastAsia="仿宋_GB2312" w:cs="宋体"/>
          <w:sz w:val="32"/>
          <w:szCs w:val="32"/>
        </w:rPr>
        <w:t>内审机构，</w:t>
      </w:r>
      <w:r>
        <w:rPr>
          <w:rFonts w:hint="eastAsia" w:ascii="仿宋_GB2312" w:hAnsi="宋体" w:eastAsia="仿宋_GB2312" w:cs="宋体"/>
          <w:sz w:val="32"/>
          <w:szCs w:val="32"/>
        </w:rPr>
        <w:t>对绩效运行情况、重大支出决策、资产处置及其他重要经济业务事项的决策和执行进行监督，对会计资料进行内部审计，并配合做好审计、财政监督等外部监督工作，确保财政资金安全有效。完善财务管理制度，严格审批程序，加强固定资产登记、使用和报废处置管理，做到支出合理，物尽其用。</w:t>
      </w:r>
    </w:p>
    <w:p>
      <w:pPr>
        <w:overflowPunct w:val="0"/>
        <w:adjustRightInd w:val="0"/>
        <w:snapToGrid w:val="0"/>
        <w:spacing w:afterLines="50" w:line="580" w:lineRule="exact"/>
        <w:ind w:firstLine="630" w:firstLineChars="196"/>
        <w:jc w:val="left"/>
        <w:rPr>
          <w:rFonts w:ascii="楷体_GB2312" w:eastAsia="楷体_GB2312" w:cs="Times New Roman"/>
          <w:b/>
          <w:sz w:val="32"/>
          <w:szCs w:val="32"/>
        </w:rPr>
      </w:pPr>
      <w:r>
        <w:rPr>
          <w:rFonts w:hint="eastAsia" w:ascii="楷体_GB2312" w:eastAsia="楷体_GB2312" w:cs="Times New Roman"/>
          <w:b/>
          <w:sz w:val="32"/>
          <w:szCs w:val="32"/>
        </w:rPr>
        <w:t>（四）部门整体支出绩效指标</w:t>
      </w:r>
    </w:p>
    <w:p>
      <w:pPr>
        <w:spacing w:line="584" w:lineRule="exact"/>
        <w:ind w:firstLine="640" w:firstLineChars="200"/>
        <w:rPr>
          <w:rFonts w:ascii="Times New Roman" w:hAnsi="黑体" w:eastAsia="黑体" w:cs="Times New Roman"/>
          <w:sz w:val="32"/>
          <w:szCs w:val="32"/>
        </w:rPr>
      </w:pPr>
    </w:p>
    <w:p>
      <w:pPr>
        <w:spacing w:line="584" w:lineRule="exact"/>
        <w:ind w:firstLine="640" w:firstLineChars="200"/>
        <w:rPr>
          <w:rFonts w:ascii="Times New Roman" w:hAnsi="黑体" w:eastAsia="黑体" w:cs="Times New Roman"/>
          <w:sz w:val="32"/>
          <w:szCs w:val="32"/>
        </w:rPr>
      </w:pPr>
    </w:p>
    <w:p>
      <w:pPr>
        <w:spacing w:line="584" w:lineRule="exact"/>
        <w:ind w:firstLine="640" w:firstLineChars="200"/>
        <w:rPr>
          <w:rFonts w:ascii="Times New Roman" w:hAnsi="黑体" w:eastAsia="黑体" w:cs="Times New Roman"/>
          <w:sz w:val="32"/>
          <w:szCs w:val="32"/>
        </w:rPr>
      </w:pPr>
    </w:p>
    <w:tbl>
      <w:tblPr>
        <w:tblStyle w:val="9"/>
        <w:tblpPr w:leftFromText="180" w:rightFromText="180" w:vertAnchor="text" w:horzAnchor="margin" w:tblpY="-302"/>
        <w:tblW w:w="141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1" w:type="dxa"/>
          <w:bottom w:w="0" w:type="dxa"/>
          <w:right w:w="11" w:type="dxa"/>
        </w:tblCellMar>
      </w:tblPr>
      <w:tblGrid>
        <w:gridCol w:w="896"/>
        <w:gridCol w:w="1324"/>
        <w:gridCol w:w="1440"/>
        <w:gridCol w:w="3487"/>
        <w:gridCol w:w="2381"/>
        <w:gridCol w:w="872"/>
        <w:gridCol w:w="783"/>
        <w:gridCol w:w="920"/>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329" w:hRule="atLeast"/>
          <w:tblHeader/>
        </w:trPr>
        <w:tc>
          <w:tcPr>
            <w:tcW w:w="896"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一级指标</w:t>
            </w:r>
          </w:p>
        </w:tc>
        <w:tc>
          <w:tcPr>
            <w:tcW w:w="1324"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二级</w:t>
            </w:r>
          </w:p>
          <w:p>
            <w:pPr>
              <w:widowControl/>
              <w:adjustRightInd w:val="0"/>
              <w:snapToGrid w:val="0"/>
              <w:jc w:val="center"/>
              <w:rPr>
                <w:rFonts w:ascii="方正书宋_GBK" w:eastAsia="方正书宋_GBK"/>
                <w:b/>
              </w:rPr>
            </w:pPr>
            <w:r>
              <w:rPr>
                <w:rFonts w:ascii="方正书宋_GBK" w:eastAsia="方正书宋_GBK"/>
                <w:b/>
              </w:rPr>
              <w:t>指标</w:t>
            </w:r>
          </w:p>
        </w:tc>
        <w:tc>
          <w:tcPr>
            <w:tcW w:w="1440"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三级</w:t>
            </w:r>
          </w:p>
          <w:p>
            <w:pPr>
              <w:widowControl/>
              <w:adjustRightInd w:val="0"/>
              <w:snapToGrid w:val="0"/>
              <w:jc w:val="center"/>
              <w:rPr>
                <w:rFonts w:ascii="方正书宋_GBK" w:eastAsia="方正书宋_GBK"/>
                <w:b/>
              </w:rPr>
            </w:pPr>
            <w:r>
              <w:rPr>
                <w:rFonts w:ascii="方正书宋_GBK" w:eastAsia="方正书宋_GBK"/>
                <w:b/>
              </w:rPr>
              <w:t>指标</w:t>
            </w:r>
          </w:p>
        </w:tc>
        <w:tc>
          <w:tcPr>
            <w:tcW w:w="3487"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评（扣）分标准</w:t>
            </w:r>
          </w:p>
        </w:tc>
        <w:tc>
          <w:tcPr>
            <w:tcW w:w="2381"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绩效指标</w:t>
            </w:r>
          </w:p>
          <w:p>
            <w:pPr>
              <w:widowControl/>
              <w:adjustRightInd w:val="0"/>
              <w:snapToGrid w:val="0"/>
              <w:jc w:val="center"/>
              <w:rPr>
                <w:rFonts w:ascii="方正书宋_GBK" w:eastAsia="方正书宋_GBK"/>
                <w:b/>
              </w:rPr>
            </w:pPr>
            <w:r>
              <w:rPr>
                <w:rFonts w:ascii="方正书宋_GBK" w:eastAsia="方正书宋_GBK"/>
                <w:b/>
              </w:rPr>
              <w:t>描述</w:t>
            </w:r>
          </w:p>
        </w:tc>
        <w:tc>
          <w:tcPr>
            <w:tcW w:w="2575" w:type="dxa"/>
            <w:gridSpan w:val="3"/>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指标值</w:t>
            </w:r>
          </w:p>
        </w:tc>
        <w:tc>
          <w:tcPr>
            <w:tcW w:w="2050" w:type="dxa"/>
            <w:vMerge w:val="restart"/>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指标值</w:t>
            </w:r>
          </w:p>
          <w:p>
            <w:pPr>
              <w:widowControl/>
              <w:adjustRightInd w:val="0"/>
              <w:snapToGrid w:val="0"/>
              <w:jc w:val="center"/>
              <w:rPr>
                <w:rFonts w:ascii="方正书宋_GBK" w:eastAsia="方正书宋_GBK"/>
                <w:b/>
              </w:rPr>
            </w:pPr>
            <w:r>
              <w:rPr>
                <w:rFonts w:ascii="方正书宋_GBK" w:eastAsia="方正书宋_GBK"/>
                <w:b/>
              </w:rPr>
              <w:t>确定依据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538" w:hRule="atLeast"/>
          <w:tblHeader/>
        </w:trPr>
        <w:tc>
          <w:tcPr>
            <w:tcW w:w="896" w:type="dxa"/>
            <w:vMerge w:val="continue"/>
            <w:tcBorders>
              <w:tl2br w:val="nil"/>
              <w:tr2bl w:val="nil"/>
            </w:tcBorders>
            <w:vAlign w:val="center"/>
          </w:tcPr>
          <w:p/>
        </w:tc>
        <w:tc>
          <w:tcPr>
            <w:tcW w:w="1324" w:type="dxa"/>
            <w:vMerge w:val="continue"/>
            <w:tcBorders>
              <w:tl2br w:val="nil"/>
              <w:tr2bl w:val="nil"/>
            </w:tcBorders>
            <w:vAlign w:val="center"/>
          </w:tcPr>
          <w:p/>
        </w:tc>
        <w:tc>
          <w:tcPr>
            <w:tcW w:w="1440" w:type="dxa"/>
            <w:vMerge w:val="continue"/>
            <w:tcBorders>
              <w:tl2br w:val="nil"/>
              <w:tr2bl w:val="nil"/>
            </w:tcBorders>
            <w:vAlign w:val="center"/>
          </w:tcPr>
          <w:p/>
        </w:tc>
        <w:tc>
          <w:tcPr>
            <w:tcW w:w="3487" w:type="dxa"/>
            <w:vMerge w:val="continue"/>
            <w:tcBorders>
              <w:tl2br w:val="nil"/>
              <w:tr2bl w:val="nil"/>
            </w:tcBorders>
            <w:vAlign w:val="center"/>
          </w:tcPr>
          <w:p/>
        </w:tc>
        <w:tc>
          <w:tcPr>
            <w:tcW w:w="2381" w:type="dxa"/>
            <w:vMerge w:val="continue"/>
            <w:tcBorders>
              <w:tl2br w:val="nil"/>
              <w:tr2bl w:val="nil"/>
            </w:tcBorders>
            <w:vAlign w:val="center"/>
          </w:tcPr>
          <w:p/>
        </w:tc>
        <w:tc>
          <w:tcPr>
            <w:tcW w:w="872" w:type="dxa"/>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符号</w:t>
            </w:r>
          </w:p>
        </w:tc>
        <w:tc>
          <w:tcPr>
            <w:tcW w:w="783" w:type="dxa"/>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值</w:t>
            </w:r>
          </w:p>
        </w:tc>
        <w:tc>
          <w:tcPr>
            <w:tcW w:w="920" w:type="dxa"/>
            <w:tcBorders>
              <w:tl2br w:val="nil"/>
              <w:tr2bl w:val="nil"/>
            </w:tcBorders>
            <w:vAlign w:val="center"/>
          </w:tcPr>
          <w:p>
            <w:pPr>
              <w:widowControl/>
              <w:adjustRightInd w:val="0"/>
              <w:snapToGrid w:val="0"/>
              <w:jc w:val="center"/>
              <w:rPr>
                <w:rFonts w:ascii="方正书宋_GBK" w:eastAsia="方正书宋_GBK"/>
                <w:b/>
              </w:rPr>
            </w:pPr>
            <w:r>
              <w:rPr>
                <w:rFonts w:ascii="方正书宋_GBK" w:eastAsia="方正书宋_GBK"/>
                <w:b/>
              </w:rPr>
              <w:t>单位</w:t>
            </w:r>
          </w:p>
        </w:tc>
        <w:tc>
          <w:tcPr>
            <w:tcW w:w="2050" w:type="dxa"/>
            <w:vMerge w:val="continue"/>
            <w:tcBorders>
              <w:tl2br w:val="nil"/>
              <w:tr2bl w:val="nil"/>
            </w:tcBorders>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00" w:hRule="atLeast"/>
        </w:trPr>
        <w:tc>
          <w:tcPr>
            <w:tcW w:w="896" w:type="dxa"/>
            <w:vMerge w:val="restart"/>
            <w:tcBorders>
              <w:tl2br w:val="nil"/>
              <w:tr2bl w:val="nil"/>
            </w:tcBorders>
            <w:vAlign w:val="center"/>
          </w:tcPr>
          <w:p>
            <w:pPr>
              <w:widowControl/>
              <w:adjustRightInd w:val="0"/>
              <w:snapToGrid w:val="0"/>
              <w:jc w:val="center"/>
              <w:rPr>
                <w:rFonts w:ascii="方正书宋_GBK" w:eastAsia="方正书宋_GBK"/>
              </w:rPr>
            </w:pPr>
            <w:r>
              <w:rPr>
                <w:rFonts w:ascii="方正书宋_GBK" w:eastAsia="方正书宋_GBK"/>
              </w:rPr>
              <w:t>部门产出</w:t>
            </w:r>
          </w:p>
        </w:tc>
        <w:tc>
          <w:tcPr>
            <w:tcW w:w="1324" w:type="dxa"/>
            <w:tcBorders>
              <w:tl2br w:val="nil"/>
              <w:tr2bl w:val="nil"/>
            </w:tcBorders>
            <w:vAlign w:val="center"/>
          </w:tcPr>
          <w:p>
            <w:pPr>
              <w:widowControl/>
              <w:adjustRightInd w:val="0"/>
              <w:snapToGrid w:val="0"/>
              <w:jc w:val="center"/>
              <w:rPr>
                <w:rFonts w:ascii="方正书宋_GBK" w:eastAsia="方正书宋_GBK"/>
              </w:rPr>
            </w:pPr>
            <w:r>
              <w:rPr>
                <w:rFonts w:ascii="方正书宋_GBK" w:eastAsia="方正书宋_GBK"/>
              </w:rPr>
              <w:t>数量</w:t>
            </w:r>
          </w:p>
        </w:tc>
        <w:tc>
          <w:tcPr>
            <w:tcW w:w="1440" w:type="dxa"/>
            <w:tcBorders>
              <w:tl2br w:val="nil"/>
              <w:tr2bl w:val="nil"/>
            </w:tcBorders>
            <w:vAlign w:val="center"/>
          </w:tcPr>
          <w:p>
            <w:pPr>
              <w:widowControl/>
              <w:jc w:val="center"/>
              <w:rPr>
                <w:rFonts w:ascii="宋体" w:hAnsi="宋体" w:eastAsia="宋体" w:cs="宋体"/>
                <w:bCs/>
                <w:kern w:val="0"/>
                <w:sz w:val="18"/>
                <w:szCs w:val="18"/>
              </w:rPr>
            </w:pPr>
            <w:r>
              <w:rPr>
                <w:rFonts w:hint="eastAsia" w:ascii="宋体" w:hAnsi="宋体" w:eastAsia="宋体" w:cs="宋体"/>
                <w:bCs/>
                <w:kern w:val="0"/>
                <w:sz w:val="18"/>
                <w:szCs w:val="18"/>
              </w:rPr>
              <w:t>　查处案件数</w:t>
            </w:r>
          </w:p>
        </w:tc>
        <w:tc>
          <w:tcPr>
            <w:tcW w:w="3487" w:type="dxa"/>
            <w:tcBorders>
              <w:tl2br w:val="nil"/>
              <w:tr2bl w:val="nil"/>
            </w:tcBorders>
            <w:vAlign w:val="center"/>
          </w:tcPr>
          <w:p>
            <w:pPr>
              <w:widowControl/>
              <w:jc w:val="center"/>
              <w:rPr>
                <w:rFonts w:ascii="宋体" w:hAnsi="宋体" w:eastAsia="宋体" w:cs="宋体"/>
                <w:bCs/>
                <w:kern w:val="0"/>
                <w:sz w:val="18"/>
                <w:szCs w:val="18"/>
              </w:rPr>
            </w:pPr>
            <w:r>
              <w:rPr>
                <w:rFonts w:hint="eastAsia" w:ascii="宋体" w:hAnsi="宋体" w:eastAsia="宋体" w:cs="宋体"/>
                <w:bCs/>
                <w:kern w:val="0"/>
                <w:sz w:val="18"/>
                <w:szCs w:val="18"/>
              </w:rPr>
              <w:t>按比例评定完成率</w:t>
            </w:r>
          </w:p>
        </w:tc>
        <w:tc>
          <w:tcPr>
            <w:tcW w:w="2381" w:type="dxa"/>
            <w:tcBorders>
              <w:tl2br w:val="nil"/>
              <w:tr2bl w:val="nil"/>
            </w:tcBorders>
            <w:vAlign w:val="center"/>
          </w:tcPr>
          <w:p>
            <w:pPr>
              <w:widowControl/>
              <w:jc w:val="center"/>
              <w:rPr>
                <w:rFonts w:ascii="宋体" w:hAnsi="宋体" w:eastAsia="宋体" w:cs="宋体"/>
                <w:bCs/>
                <w:kern w:val="0"/>
                <w:sz w:val="18"/>
                <w:szCs w:val="18"/>
              </w:rPr>
            </w:pPr>
            <w:r>
              <w:rPr>
                <w:rFonts w:hint="eastAsia" w:ascii="宋体" w:hAnsi="宋体" w:eastAsia="宋体" w:cs="宋体"/>
                <w:bCs/>
                <w:kern w:val="0"/>
                <w:sz w:val="18"/>
                <w:szCs w:val="18"/>
              </w:rPr>
              <w:t>案件查处数</w:t>
            </w:r>
          </w:p>
        </w:tc>
        <w:tc>
          <w:tcPr>
            <w:tcW w:w="872" w:type="dxa"/>
            <w:tcBorders>
              <w:tl2br w:val="nil"/>
              <w:tr2bl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w:t>
            </w:r>
          </w:p>
        </w:tc>
        <w:tc>
          <w:tcPr>
            <w:tcW w:w="783" w:type="dxa"/>
            <w:tcBorders>
              <w:tl2br w:val="nil"/>
              <w:tr2bl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85</w:t>
            </w:r>
          </w:p>
        </w:tc>
        <w:tc>
          <w:tcPr>
            <w:tcW w:w="920" w:type="dxa"/>
            <w:tcBorders>
              <w:tl2br w:val="nil"/>
              <w:tr2bl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件</w:t>
            </w:r>
          </w:p>
        </w:tc>
        <w:tc>
          <w:tcPr>
            <w:tcW w:w="2050" w:type="dxa"/>
            <w:tcBorders>
              <w:tl2br w:val="nil"/>
              <w:tr2bl w:val="nil"/>
            </w:tcBorders>
            <w:vAlign w:val="center"/>
          </w:tcPr>
          <w:p>
            <w:pPr>
              <w:widowControl/>
              <w:adjustRightInd w:val="0"/>
              <w:snapToGrid w:val="0"/>
              <w:jc w:val="center"/>
              <w:rPr>
                <w:rFonts w:ascii="方正书宋_GBK" w:eastAsia="方正书宋_GBK"/>
              </w:rPr>
            </w:pPr>
            <w:r>
              <w:rPr>
                <w:rFonts w:hint="eastAsia" w:ascii="方正书宋_GBK" w:eastAsia="方正书宋_GBK"/>
              </w:rPr>
              <w:t>计划标准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20" w:hRule="atLeast"/>
        </w:trPr>
        <w:tc>
          <w:tcPr>
            <w:tcW w:w="896" w:type="dxa"/>
            <w:vMerge w:val="continue"/>
            <w:tcBorders>
              <w:tl2br w:val="nil"/>
              <w:tr2bl w:val="nil"/>
            </w:tcBorders>
            <w:vAlign w:val="center"/>
          </w:tcPr>
          <w:p/>
        </w:tc>
        <w:tc>
          <w:tcPr>
            <w:tcW w:w="1324" w:type="dxa"/>
            <w:tcBorders>
              <w:tl2br w:val="nil"/>
              <w:tr2bl w:val="nil"/>
            </w:tcBorders>
            <w:vAlign w:val="center"/>
          </w:tcPr>
          <w:p>
            <w:pPr>
              <w:widowControl/>
              <w:adjustRightInd w:val="0"/>
              <w:snapToGrid w:val="0"/>
              <w:jc w:val="center"/>
              <w:rPr>
                <w:rFonts w:ascii="方正书宋_GBK" w:eastAsia="方正书宋_GBK"/>
              </w:rPr>
            </w:pPr>
            <w:r>
              <w:rPr>
                <w:rFonts w:ascii="方正书宋_GBK" w:eastAsia="方正书宋_GBK"/>
              </w:rPr>
              <w:t>质量</w:t>
            </w:r>
          </w:p>
        </w:tc>
        <w:tc>
          <w:tcPr>
            <w:tcW w:w="1440"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立案案件办结率</w:t>
            </w:r>
          </w:p>
        </w:tc>
        <w:tc>
          <w:tcPr>
            <w:tcW w:w="3487"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bCs/>
                <w:kern w:val="0"/>
                <w:sz w:val="18"/>
                <w:szCs w:val="18"/>
              </w:rPr>
              <w:t>按比例评定完成率</w:t>
            </w:r>
          </w:p>
        </w:tc>
        <w:tc>
          <w:tcPr>
            <w:tcW w:w="2381"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办立案案件办结率</w:t>
            </w:r>
          </w:p>
        </w:tc>
        <w:tc>
          <w:tcPr>
            <w:tcW w:w="872"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783"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90</w:t>
            </w:r>
          </w:p>
        </w:tc>
        <w:tc>
          <w:tcPr>
            <w:tcW w:w="920"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2050" w:type="dxa"/>
            <w:tcBorders>
              <w:tl2br w:val="nil"/>
              <w:tr2bl w:val="nil"/>
            </w:tcBorders>
            <w:vAlign w:val="center"/>
          </w:tcPr>
          <w:p>
            <w:pPr>
              <w:widowControl/>
              <w:adjustRightInd w:val="0"/>
              <w:snapToGrid w:val="0"/>
              <w:jc w:val="center"/>
              <w:rPr>
                <w:rFonts w:ascii="方正书宋_GBK" w:eastAsia="方正书宋_GBK"/>
              </w:rPr>
            </w:pPr>
            <w:r>
              <w:rPr>
                <w:rFonts w:hint="eastAsia" w:ascii="方正书宋_GBK" w:eastAsia="方正书宋_GBK"/>
              </w:rPr>
              <w:t>计划标准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463" w:hRule="atLeast"/>
        </w:trPr>
        <w:tc>
          <w:tcPr>
            <w:tcW w:w="896" w:type="dxa"/>
            <w:vMerge w:val="continue"/>
            <w:tcBorders>
              <w:tl2br w:val="nil"/>
              <w:tr2bl w:val="nil"/>
            </w:tcBorders>
            <w:vAlign w:val="center"/>
          </w:tcPr>
          <w:p/>
        </w:tc>
        <w:tc>
          <w:tcPr>
            <w:tcW w:w="1324" w:type="dxa"/>
            <w:tcBorders>
              <w:tl2br w:val="nil"/>
              <w:tr2bl w:val="nil"/>
            </w:tcBorders>
            <w:vAlign w:val="center"/>
          </w:tcPr>
          <w:p>
            <w:pPr>
              <w:widowControl/>
              <w:adjustRightInd w:val="0"/>
              <w:snapToGrid w:val="0"/>
              <w:jc w:val="center"/>
              <w:rPr>
                <w:rFonts w:ascii="方正书宋_GBK" w:eastAsia="方正书宋_GBK"/>
              </w:rPr>
            </w:pPr>
            <w:r>
              <w:rPr>
                <w:rFonts w:ascii="方正书宋_GBK" w:eastAsia="方正书宋_GBK"/>
              </w:rPr>
              <w:t>时效</w:t>
            </w:r>
          </w:p>
        </w:tc>
        <w:tc>
          <w:tcPr>
            <w:tcW w:w="1440"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案件办理时限达标率　</w:t>
            </w:r>
          </w:p>
        </w:tc>
        <w:tc>
          <w:tcPr>
            <w:tcW w:w="3487"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bCs/>
                <w:kern w:val="0"/>
                <w:sz w:val="18"/>
                <w:szCs w:val="18"/>
              </w:rPr>
              <w:t>按比例评定完成率</w:t>
            </w:r>
          </w:p>
        </w:tc>
        <w:tc>
          <w:tcPr>
            <w:tcW w:w="2381"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案件办理时限达标率</w:t>
            </w:r>
          </w:p>
        </w:tc>
        <w:tc>
          <w:tcPr>
            <w:tcW w:w="872" w:type="dxa"/>
            <w:tcBorders>
              <w:tl2br w:val="nil"/>
              <w:tr2bl w:val="nil"/>
            </w:tcBorders>
            <w:vAlign w:val="center"/>
          </w:tcPr>
          <w:p>
            <w:pPr>
              <w:jc w:val="center"/>
              <w:rPr>
                <w:rFonts w:ascii="宋体" w:hAnsi="宋体" w:eastAsia="宋体" w:cs="宋体"/>
                <w:sz w:val="18"/>
                <w:szCs w:val="18"/>
              </w:rPr>
            </w:pPr>
            <w:r>
              <w:rPr>
                <w:rFonts w:hint="eastAsia" w:ascii="宋体" w:hAnsi="宋体" w:eastAsia="宋体" w:cs="宋体"/>
                <w:kern w:val="0"/>
                <w:sz w:val="18"/>
                <w:szCs w:val="18"/>
              </w:rPr>
              <w:t>≥</w:t>
            </w:r>
          </w:p>
        </w:tc>
        <w:tc>
          <w:tcPr>
            <w:tcW w:w="783"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90</w:t>
            </w:r>
          </w:p>
        </w:tc>
        <w:tc>
          <w:tcPr>
            <w:tcW w:w="920"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2050" w:type="dxa"/>
            <w:tcBorders>
              <w:tl2br w:val="nil"/>
              <w:tr2bl w:val="nil"/>
            </w:tcBorders>
            <w:vAlign w:val="center"/>
          </w:tcPr>
          <w:p>
            <w:pPr>
              <w:widowControl/>
              <w:adjustRightInd w:val="0"/>
              <w:snapToGrid w:val="0"/>
              <w:jc w:val="center"/>
              <w:rPr>
                <w:rFonts w:ascii="方正书宋_GBK" w:eastAsia="方正书宋_GBK"/>
              </w:rPr>
            </w:pPr>
            <w:r>
              <w:rPr>
                <w:rFonts w:hint="eastAsia" w:ascii="方正书宋_GBK" w:eastAsia="方正书宋_GBK"/>
              </w:rPr>
              <w:t>计划标准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20" w:hRule="atLeast"/>
        </w:trPr>
        <w:tc>
          <w:tcPr>
            <w:tcW w:w="896" w:type="dxa"/>
            <w:vMerge w:val="continue"/>
            <w:tcBorders>
              <w:tl2br w:val="nil"/>
              <w:tr2bl w:val="nil"/>
            </w:tcBorders>
            <w:vAlign w:val="center"/>
          </w:tcPr>
          <w:p/>
        </w:tc>
        <w:tc>
          <w:tcPr>
            <w:tcW w:w="1324" w:type="dxa"/>
            <w:tcBorders>
              <w:tl2br w:val="nil"/>
              <w:tr2bl w:val="nil"/>
            </w:tcBorders>
            <w:vAlign w:val="center"/>
          </w:tcPr>
          <w:p>
            <w:pPr>
              <w:widowControl/>
              <w:adjustRightInd w:val="0"/>
              <w:snapToGrid w:val="0"/>
              <w:jc w:val="center"/>
              <w:rPr>
                <w:rFonts w:ascii="方正书宋_GBK" w:eastAsia="方正书宋_GBK"/>
              </w:rPr>
            </w:pPr>
            <w:r>
              <w:rPr>
                <w:rFonts w:ascii="方正书宋_GBK" w:eastAsia="方正书宋_GBK"/>
              </w:rPr>
              <w:t>成本</w:t>
            </w:r>
          </w:p>
        </w:tc>
        <w:tc>
          <w:tcPr>
            <w:tcW w:w="1440"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项目总成本　</w:t>
            </w:r>
          </w:p>
        </w:tc>
        <w:tc>
          <w:tcPr>
            <w:tcW w:w="3487"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bCs/>
                <w:kern w:val="0"/>
                <w:sz w:val="18"/>
                <w:szCs w:val="18"/>
              </w:rPr>
              <w:t>按比例评定完成率</w:t>
            </w:r>
          </w:p>
        </w:tc>
        <w:tc>
          <w:tcPr>
            <w:tcW w:w="2381"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项目总成本　</w:t>
            </w:r>
          </w:p>
        </w:tc>
        <w:tc>
          <w:tcPr>
            <w:tcW w:w="872" w:type="dxa"/>
            <w:tcBorders>
              <w:tl2br w:val="nil"/>
              <w:tr2bl w:val="nil"/>
            </w:tcBorders>
            <w:vAlign w:val="center"/>
          </w:tcPr>
          <w:p>
            <w:pPr>
              <w:widowControl/>
              <w:jc w:val="center"/>
              <w:rPr>
                <w:rFonts w:ascii="宋体" w:hAnsi="宋体" w:eastAsia="宋体" w:cs="宋体"/>
                <w:kern w:val="0"/>
                <w:sz w:val="18"/>
                <w:szCs w:val="18"/>
              </w:rPr>
            </w:pPr>
            <w:r>
              <w:rPr>
                <w:rFonts w:hint="eastAsia"/>
                <w:sz w:val="18"/>
                <w:szCs w:val="18"/>
              </w:rPr>
              <w:t>≤</w:t>
            </w:r>
          </w:p>
        </w:tc>
        <w:tc>
          <w:tcPr>
            <w:tcW w:w="783"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557.55</w:t>
            </w:r>
          </w:p>
        </w:tc>
        <w:tc>
          <w:tcPr>
            <w:tcW w:w="920"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2050" w:type="dxa"/>
            <w:tcBorders>
              <w:tl2br w:val="nil"/>
              <w:tr2bl w:val="nil"/>
            </w:tcBorders>
            <w:vAlign w:val="center"/>
          </w:tcPr>
          <w:p>
            <w:pPr>
              <w:widowControl/>
              <w:adjustRightInd w:val="0"/>
              <w:snapToGrid w:val="0"/>
              <w:jc w:val="center"/>
              <w:rPr>
                <w:rFonts w:ascii="方正书宋_GBK" w:eastAsia="方正书宋_GBK"/>
              </w:rPr>
            </w:pPr>
            <w:r>
              <w:rPr>
                <w:rFonts w:hint="eastAsia" w:ascii="方正书宋_GBK" w:eastAsia="方正书宋_GBK"/>
              </w:rPr>
              <w:t>计划标准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20" w:hRule="atLeast"/>
        </w:trPr>
        <w:tc>
          <w:tcPr>
            <w:tcW w:w="896" w:type="dxa"/>
            <w:vMerge w:val="restart"/>
            <w:tcBorders>
              <w:tl2br w:val="nil"/>
              <w:tr2bl w:val="nil"/>
            </w:tcBorders>
            <w:vAlign w:val="center"/>
          </w:tcPr>
          <w:p>
            <w:pPr>
              <w:adjustRightInd w:val="0"/>
              <w:snapToGrid w:val="0"/>
              <w:jc w:val="center"/>
              <w:rPr>
                <w:rFonts w:ascii="方正书宋_GBK" w:eastAsia="方正书宋_GBK"/>
              </w:rPr>
            </w:pPr>
            <w:r>
              <w:rPr>
                <w:rFonts w:ascii="方正书宋_GBK" w:eastAsia="方正书宋_GBK"/>
              </w:rPr>
              <w:t>部门</w:t>
            </w:r>
            <w:r>
              <w:rPr>
                <w:rFonts w:hint="eastAsia" w:ascii="方正书宋_GBK" w:eastAsia="方正书宋_GBK"/>
              </w:rPr>
              <w:t>效果</w:t>
            </w:r>
          </w:p>
        </w:tc>
        <w:tc>
          <w:tcPr>
            <w:tcW w:w="1324" w:type="dxa"/>
            <w:tcBorders>
              <w:tl2br w:val="nil"/>
              <w:tr2bl w:val="nil"/>
            </w:tcBorders>
            <w:vAlign w:val="center"/>
          </w:tcPr>
          <w:p>
            <w:pPr>
              <w:widowControl/>
              <w:adjustRightInd w:val="0"/>
              <w:snapToGrid w:val="0"/>
              <w:jc w:val="center"/>
              <w:rPr>
                <w:rFonts w:ascii="方正书宋_GBK" w:eastAsia="方正书宋_GBK"/>
              </w:rPr>
            </w:pPr>
            <w:r>
              <w:rPr>
                <w:rFonts w:ascii="方正书宋_GBK" w:eastAsia="方正书宋_GBK"/>
              </w:rPr>
              <w:t>社会</w:t>
            </w:r>
          </w:p>
          <w:p>
            <w:pPr>
              <w:widowControl/>
              <w:adjustRightInd w:val="0"/>
              <w:snapToGrid w:val="0"/>
              <w:jc w:val="center"/>
              <w:rPr>
                <w:rFonts w:ascii="方正书宋_GBK" w:eastAsia="方正书宋_GBK"/>
              </w:rPr>
            </w:pPr>
            <w:r>
              <w:rPr>
                <w:rFonts w:ascii="方正书宋_GBK" w:eastAsia="方正书宋_GBK"/>
              </w:rPr>
              <w:t>效益</w:t>
            </w:r>
          </w:p>
        </w:tc>
        <w:tc>
          <w:tcPr>
            <w:tcW w:w="1440" w:type="dxa"/>
            <w:tcBorders>
              <w:tl2br w:val="nil"/>
              <w:tr2bl w:val="nil"/>
            </w:tcBorders>
            <w:vAlign w:val="center"/>
          </w:tcPr>
          <w:p>
            <w:pPr>
              <w:widowControl/>
              <w:adjustRightInd w:val="0"/>
              <w:snapToGrid w:val="0"/>
              <w:rPr>
                <w:rFonts w:ascii="方正书宋_GBK" w:eastAsia="方正书宋_GBK"/>
              </w:rPr>
            </w:pPr>
          </w:p>
        </w:tc>
        <w:tc>
          <w:tcPr>
            <w:tcW w:w="3487" w:type="dxa"/>
            <w:tcBorders>
              <w:tl2br w:val="nil"/>
              <w:tr2bl w:val="nil"/>
            </w:tcBorders>
            <w:vAlign w:val="center"/>
          </w:tcPr>
          <w:p>
            <w:pPr>
              <w:widowControl/>
              <w:adjustRightInd w:val="0"/>
              <w:snapToGrid w:val="0"/>
              <w:rPr>
                <w:rFonts w:ascii="方正书宋_GBK" w:eastAsia="方正书宋_GBK"/>
              </w:rPr>
            </w:pPr>
          </w:p>
        </w:tc>
        <w:tc>
          <w:tcPr>
            <w:tcW w:w="2381" w:type="dxa"/>
            <w:tcBorders>
              <w:tl2br w:val="nil"/>
              <w:tr2bl w:val="nil"/>
            </w:tcBorders>
            <w:vAlign w:val="center"/>
          </w:tcPr>
          <w:p>
            <w:pPr>
              <w:widowControl/>
              <w:adjustRightInd w:val="0"/>
              <w:snapToGrid w:val="0"/>
              <w:rPr>
                <w:rFonts w:ascii="方正书宋_GBK" w:eastAsia="方正书宋_GBK"/>
              </w:rPr>
            </w:pPr>
          </w:p>
        </w:tc>
        <w:tc>
          <w:tcPr>
            <w:tcW w:w="872" w:type="dxa"/>
            <w:tcBorders>
              <w:tl2br w:val="nil"/>
              <w:tr2bl w:val="nil"/>
            </w:tcBorders>
            <w:vAlign w:val="center"/>
          </w:tcPr>
          <w:p>
            <w:pPr>
              <w:widowControl/>
              <w:jc w:val="center"/>
              <w:rPr>
                <w:rFonts w:ascii="宋体" w:hAnsi="宋体" w:eastAsia="宋体" w:cs="宋体"/>
                <w:kern w:val="0"/>
                <w:sz w:val="18"/>
                <w:szCs w:val="18"/>
              </w:rPr>
            </w:pPr>
          </w:p>
        </w:tc>
        <w:tc>
          <w:tcPr>
            <w:tcW w:w="783" w:type="dxa"/>
            <w:tcBorders>
              <w:tl2br w:val="nil"/>
              <w:tr2bl w:val="nil"/>
            </w:tcBorders>
            <w:vAlign w:val="center"/>
          </w:tcPr>
          <w:p>
            <w:pPr>
              <w:widowControl/>
              <w:jc w:val="center"/>
              <w:rPr>
                <w:rFonts w:ascii="宋体" w:hAnsi="宋体" w:eastAsia="宋体" w:cs="宋体"/>
                <w:kern w:val="0"/>
                <w:sz w:val="18"/>
                <w:szCs w:val="18"/>
              </w:rPr>
            </w:pPr>
          </w:p>
        </w:tc>
        <w:tc>
          <w:tcPr>
            <w:tcW w:w="920" w:type="dxa"/>
            <w:tcBorders>
              <w:tl2br w:val="nil"/>
              <w:tr2bl w:val="nil"/>
            </w:tcBorders>
            <w:vAlign w:val="center"/>
          </w:tcPr>
          <w:p>
            <w:pPr>
              <w:widowControl/>
              <w:jc w:val="center"/>
              <w:rPr>
                <w:rFonts w:ascii="宋体" w:hAnsi="宋体" w:eastAsia="宋体" w:cs="宋体"/>
                <w:kern w:val="0"/>
                <w:sz w:val="18"/>
                <w:szCs w:val="18"/>
              </w:rPr>
            </w:pPr>
          </w:p>
        </w:tc>
        <w:tc>
          <w:tcPr>
            <w:tcW w:w="2050" w:type="dxa"/>
            <w:tcBorders>
              <w:tl2br w:val="nil"/>
              <w:tr2bl w:val="nil"/>
            </w:tcBorders>
            <w:vAlign w:val="center"/>
          </w:tcPr>
          <w:p>
            <w:pPr>
              <w:widowControl/>
              <w:adjustRightInd w:val="0"/>
              <w:snapToGrid w:val="0"/>
              <w:jc w:val="center"/>
              <w:rPr>
                <w:rFonts w:ascii="方正书宋_GBK" w:eastAsia="方正书宋_GBK"/>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20" w:hRule="atLeast"/>
        </w:trPr>
        <w:tc>
          <w:tcPr>
            <w:tcW w:w="896" w:type="dxa"/>
            <w:vMerge w:val="continue"/>
            <w:tcBorders>
              <w:tl2br w:val="nil"/>
              <w:tr2bl w:val="nil"/>
            </w:tcBorders>
            <w:vAlign w:val="center"/>
          </w:tcPr>
          <w:p/>
        </w:tc>
        <w:tc>
          <w:tcPr>
            <w:tcW w:w="1324" w:type="dxa"/>
            <w:tcBorders>
              <w:tl2br w:val="nil"/>
              <w:tr2bl w:val="nil"/>
            </w:tcBorders>
            <w:vAlign w:val="center"/>
          </w:tcPr>
          <w:p>
            <w:pPr>
              <w:widowControl/>
              <w:adjustRightInd w:val="0"/>
              <w:snapToGrid w:val="0"/>
              <w:jc w:val="center"/>
              <w:rPr>
                <w:rFonts w:ascii="方正书宋_GBK" w:eastAsia="方正书宋_GBK"/>
              </w:rPr>
            </w:pPr>
            <w:r>
              <w:rPr>
                <w:rFonts w:hint="eastAsia" w:ascii="方正书宋_GBK" w:eastAsia="方正书宋_GBK"/>
              </w:rPr>
              <w:t>经济</w:t>
            </w:r>
          </w:p>
          <w:p>
            <w:pPr>
              <w:widowControl/>
              <w:adjustRightInd w:val="0"/>
              <w:snapToGrid w:val="0"/>
              <w:jc w:val="center"/>
              <w:rPr>
                <w:rFonts w:ascii="方正书宋_GBK" w:eastAsia="方正书宋_GBK"/>
              </w:rPr>
            </w:pPr>
            <w:r>
              <w:rPr>
                <w:rFonts w:hint="eastAsia" w:ascii="方正书宋_GBK" w:eastAsia="方正书宋_GBK"/>
              </w:rPr>
              <w:t>效益</w:t>
            </w:r>
          </w:p>
        </w:tc>
        <w:tc>
          <w:tcPr>
            <w:tcW w:w="1440"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挽回经济损失</w:t>
            </w:r>
          </w:p>
        </w:tc>
        <w:tc>
          <w:tcPr>
            <w:tcW w:w="3487"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bCs/>
                <w:kern w:val="0"/>
                <w:sz w:val="18"/>
                <w:szCs w:val="18"/>
              </w:rPr>
              <w:t>按比例评定完成率</w:t>
            </w:r>
            <w:r>
              <w:rPr>
                <w:rFonts w:hint="eastAsia" w:ascii="宋体" w:hAnsi="宋体" w:eastAsia="宋体" w:cs="宋体"/>
                <w:kern w:val="0"/>
                <w:sz w:val="18"/>
                <w:szCs w:val="18"/>
              </w:rPr>
              <w:t>　</w:t>
            </w:r>
          </w:p>
        </w:tc>
        <w:tc>
          <w:tcPr>
            <w:tcW w:w="2381" w:type="dxa"/>
            <w:tcBorders>
              <w:tl2br w:val="nil"/>
              <w:tr2bl w:val="nil"/>
            </w:tcBorders>
            <w:vAlign w:val="center"/>
          </w:tcPr>
          <w:p>
            <w:pPr>
              <w:widowControl/>
              <w:adjustRightInd w:val="0"/>
              <w:snapToGrid w:val="0"/>
              <w:rPr>
                <w:rFonts w:ascii="方正书宋_GBK" w:eastAsia="方正书宋_GBK"/>
              </w:rPr>
            </w:pPr>
            <w:r>
              <w:rPr>
                <w:rFonts w:hint="eastAsia" w:ascii="宋体" w:hAnsi="宋体" w:eastAsia="宋体" w:cs="宋体"/>
                <w:kern w:val="0"/>
                <w:sz w:val="18"/>
                <w:szCs w:val="18"/>
              </w:rPr>
              <w:t>通过查处案件所挽回的经济损失</w:t>
            </w:r>
          </w:p>
        </w:tc>
        <w:tc>
          <w:tcPr>
            <w:tcW w:w="872"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783"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w:t>
            </w:r>
          </w:p>
        </w:tc>
        <w:tc>
          <w:tcPr>
            <w:tcW w:w="920"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2050" w:type="dxa"/>
            <w:tcBorders>
              <w:tl2br w:val="nil"/>
              <w:tr2bl w:val="nil"/>
            </w:tcBorders>
            <w:vAlign w:val="center"/>
          </w:tcPr>
          <w:p>
            <w:pPr>
              <w:widowControl/>
              <w:adjustRightInd w:val="0"/>
              <w:snapToGrid w:val="0"/>
              <w:jc w:val="center"/>
              <w:rPr>
                <w:rFonts w:ascii="方正书宋_GBK" w:eastAsia="方正书宋_GBK"/>
              </w:rPr>
            </w:pPr>
            <w:r>
              <w:rPr>
                <w:rFonts w:hint="eastAsia" w:ascii="方正书宋_GBK" w:eastAsia="方正书宋_GBK"/>
              </w:rPr>
              <w:t>计划标准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20" w:hRule="atLeast"/>
        </w:trPr>
        <w:tc>
          <w:tcPr>
            <w:tcW w:w="896" w:type="dxa"/>
            <w:vMerge w:val="continue"/>
            <w:tcBorders>
              <w:tl2br w:val="nil"/>
              <w:tr2bl w:val="nil"/>
            </w:tcBorders>
            <w:vAlign w:val="center"/>
          </w:tcPr>
          <w:p/>
        </w:tc>
        <w:tc>
          <w:tcPr>
            <w:tcW w:w="1324" w:type="dxa"/>
            <w:tcBorders>
              <w:tl2br w:val="nil"/>
              <w:tr2bl w:val="nil"/>
            </w:tcBorders>
            <w:vAlign w:val="center"/>
          </w:tcPr>
          <w:p>
            <w:pPr>
              <w:widowControl/>
              <w:adjustRightInd w:val="0"/>
              <w:snapToGrid w:val="0"/>
              <w:jc w:val="center"/>
              <w:rPr>
                <w:rFonts w:ascii="方正书宋_GBK" w:eastAsia="方正书宋_GBK"/>
              </w:rPr>
            </w:pPr>
            <w:r>
              <w:rPr>
                <w:rFonts w:hint="eastAsia" w:ascii="方正书宋_GBK" w:eastAsia="方正书宋_GBK"/>
              </w:rPr>
              <w:t>生态</w:t>
            </w:r>
          </w:p>
          <w:p>
            <w:pPr>
              <w:widowControl/>
              <w:adjustRightInd w:val="0"/>
              <w:snapToGrid w:val="0"/>
              <w:jc w:val="center"/>
              <w:rPr>
                <w:rFonts w:ascii="方正书宋_GBK" w:eastAsia="方正书宋_GBK"/>
              </w:rPr>
            </w:pPr>
            <w:r>
              <w:rPr>
                <w:rFonts w:hint="eastAsia" w:ascii="方正书宋_GBK" w:eastAsia="方正书宋_GBK"/>
              </w:rPr>
              <w:t>效益</w:t>
            </w:r>
          </w:p>
        </w:tc>
        <w:tc>
          <w:tcPr>
            <w:tcW w:w="1440" w:type="dxa"/>
            <w:tcBorders>
              <w:tl2br w:val="nil"/>
              <w:tr2bl w:val="nil"/>
            </w:tcBorders>
            <w:vAlign w:val="center"/>
          </w:tcPr>
          <w:p>
            <w:pPr>
              <w:widowControl/>
              <w:adjustRightInd w:val="0"/>
              <w:snapToGrid w:val="0"/>
              <w:rPr>
                <w:rFonts w:ascii="方正书宋_GBK" w:eastAsia="方正书宋_GBK"/>
              </w:rPr>
            </w:pPr>
          </w:p>
        </w:tc>
        <w:tc>
          <w:tcPr>
            <w:tcW w:w="3487" w:type="dxa"/>
            <w:tcBorders>
              <w:tl2br w:val="nil"/>
              <w:tr2bl w:val="nil"/>
            </w:tcBorders>
            <w:vAlign w:val="center"/>
          </w:tcPr>
          <w:p>
            <w:pPr>
              <w:widowControl/>
              <w:adjustRightInd w:val="0"/>
              <w:snapToGrid w:val="0"/>
              <w:rPr>
                <w:rFonts w:ascii="方正书宋_GBK" w:eastAsia="方正书宋_GBK"/>
              </w:rPr>
            </w:pPr>
          </w:p>
        </w:tc>
        <w:tc>
          <w:tcPr>
            <w:tcW w:w="2381" w:type="dxa"/>
            <w:tcBorders>
              <w:tl2br w:val="nil"/>
              <w:tr2bl w:val="nil"/>
            </w:tcBorders>
            <w:vAlign w:val="center"/>
          </w:tcPr>
          <w:p>
            <w:pPr>
              <w:widowControl/>
              <w:adjustRightInd w:val="0"/>
              <w:snapToGrid w:val="0"/>
              <w:rPr>
                <w:rFonts w:ascii="方正书宋_GBK" w:eastAsia="方正书宋_GBK"/>
              </w:rPr>
            </w:pPr>
          </w:p>
        </w:tc>
        <w:tc>
          <w:tcPr>
            <w:tcW w:w="872" w:type="dxa"/>
            <w:tcBorders>
              <w:tl2br w:val="nil"/>
              <w:tr2bl w:val="nil"/>
            </w:tcBorders>
            <w:vAlign w:val="center"/>
          </w:tcPr>
          <w:p>
            <w:pPr>
              <w:widowControl/>
              <w:adjustRightInd w:val="0"/>
              <w:snapToGrid w:val="0"/>
              <w:rPr>
                <w:rFonts w:ascii="方正书宋_GBK" w:eastAsia="方正书宋_GBK"/>
              </w:rPr>
            </w:pPr>
          </w:p>
        </w:tc>
        <w:tc>
          <w:tcPr>
            <w:tcW w:w="783" w:type="dxa"/>
            <w:tcBorders>
              <w:tl2br w:val="nil"/>
              <w:tr2bl w:val="nil"/>
            </w:tcBorders>
            <w:vAlign w:val="center"/>
          </w:tcPr>
          <w:p>
            <w:pPr>
              <w:widowControl/>
              <w:adjustRightInd w:val="0"/>
              <w:snapToGrid w:val="0"/>
              <w:rPr>
                <w:rFonts w:ascii="方正书宋_GBK" w:eastAsia="方正书宋_GBK"/>
              </w:rPr>
            </w:pPr>
          </w:p>
        </w:tc>
        <w:tc>
          <w:tcPr>
            <w:tcW w:w="920" w:type="dxa"/>
            <w:tcBorders>
              <w:tl2br w:val="nil"/>
              <w:tr2bl w:val="nil"/>
            </w:tcBorders>
            <w:vAlign w:val="center"/>
          </w:tcPr>
          <w:p>
            <w:pPr>
              <w:widowControl/>
              <w:adjustRightInd w:val="0"/>
              <w:snapToGrid w:val="0"/>
              <w:rPr>
                <w:rFonts w:ascii="方正书宋_GBK" w:eastAsia="方正书宋_GBK"/>
              </w:rPr>
            </w:pPr>
          </w:p>
        </w:tc>
        <w:tc>
          <w:tcPr>
            <w:tcW w:w="2050" w:type="dxa"/>
            <w:tcBorders>
              <w:tl2br w:val="nil"/>
              <w:tr2bl w:val="nil"/>
            </w:tcBorders>
            <w:vAlign w:val="center"/>
          </w:tcPr>
          <w:p>
            <w:pPr>
              <w:widowControl/>
              <w:adjustRightInd w:val="0"/>
              <w:snapToGrid w:val="0"/>
              <w:jc w:val="center"/>
              <w:rPr>
                <w:rFonts w:ascii="方正书宋_GBK" w:eastAsia="方正书宋_GBK"/>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778" w:hRule="atLeast"/>
        </w:trPr>
        <w:tc>
          <w:tcPr>
            <w:tcW w:w="896" w:type="dxa"/>
            <w:vMerge w:val="continue"/>
            <w:tcBorders>
              <w:tl2br w:val="nil"/>
              <w:tr2bl w:val="nil"/>
            </w:tcBorders>
            <w:vAlign w:val="center"/>
          </w:tcPr>
          <w:p/>
        </w:tc>
        <w:tc>
          <w:tcPr>
            <w:tcW w:w="1324" w:type="dxa"/>
            <w:tcBorders>
              <w:tl2br w:val="nil"/>
              <w:tr2bl w:val="nil"/>
            </w:tcBorders>
            <w:vAlign w:val="center"/>
          </w:tcPr>
          <w:p>
            <w:pPr>
              <w:adjustRightInd w:val="0"/>
              <w:snapToGrid w:val="0"/>
              <w:jc w:val="center"/>
              <w:rPr>
                <w:rFonts w:ascii="方正书宋_GBK" w:eastAsia="方正书宋_GBK"/>
              </w:rPr>
            </w:pPr>
            <w:r>
              <w:rPr>
                <w:rFonts w:hint="eastAsia" w:ascii="方正书宋_GBK" w:eastAsia="方正书宋_GBK"/>
              </w:rPr>
              <w:t>可持续影响</w:t>
            </w:r>
          </w:p>
        </w:tc>
        <w:tc>
          <w:tcPr>
            <w:tcW w:w="1440" w:type="dxa"/>
            <w:tcBorders>
              <w:tl2br w:val="nil"/>
              <w:tr2bl w:val="nil"/>
            </w:tcBorders>
            <w:noWrap/>
            <w:vAlign w:val="center"/>
          </w:tcPr>
          <w:p>
            <w:pPr>
              <w:widowControl/>
              <w:adjustRightInd w:val="0"/>
              <w:snapToGrid w:val="0"/>
              <w:rPr>
                <w:rFonts w:ascii="方正书宋_GBK" w:eastAsia="方正书宋_GBK"/>
              </w:rPr>
            </w:pPr>
          </w:p>
        </w:tc>
        <w:tc>
          <w:tcPr>
            <w:tcW w:w="3487" w:type="dxa"/>
            <w:tcBorders>
              <w:tl2br w:val="nil"/>
              <w:tr2bl w:val="nil"/>
            </w:tcBorders>
            <w:noWrap/>
            <w:vAlign w:val="center"/>
          </w:tcPr>
          <w:p>
            <w:pPr>
              <w:widowControl/>
              <w:adjustRightInd w:val="0"/>
              <w:snapToGrid w:val="0"/>
              <w:rPr>
                <w:rFonts w:ascii="方正书宋_GBK" w:eastAsia="方正书宋_GBK"/>
              </w:rPr>
            </w:pPr>
          </w:p>
        </w:tc>
        <w:tc>
          <w:tcPr>
            <w:tcW w:w="2381" w:type="dxa"/>
            <w:tcBorders>
              <w:tl2br w:val="nil"/>
              <w:tr2bl w:val="nil"/>
            </w:tcBorders>
            <w:noWrap/>
            <w:vAlign w:val="center"/>
          </w:tcPr>
          <w:p>
            <w:pPr>
              <w:widowControl/>
              <w:adjustRightInd w:val="0"/>
              <w:snapToGrid w:val="0"/>
              <w:rPr>
                <w:rFonts w:ascii="方正书宋_GBK" w:eastAsia="方正书宋_GBK"/>
              </w:rPr>
            </w:pPr>
          </w:p>
        </w:tc>
        <w:tc>
          <w:tcPr>
            <w:tcW w:w="872" w:type="dxa"/>
            <w:tcBorders>
              <w:tl2br w:val="nil"/>
              <w:tr2bl w:val="nil"/>
            </w:tcBorders>
            <w:vAlign w:val="center"/>
          </w:tcPr>
          <w:p>
            <w:pPr>
              <w:widowControl/>
              <w:adjustRightInd w:val="0"/>
              <w:snapToGrid w:val="0"/>
              <w:jc w:val="center"/>
              <w:rPr>
                <w:rFonts w:ascii="方正书宋_GBK" w:eastAsia="方正书宋_GBK"/>
              </w:rPr>
            </w:pPr>
          </w:p>
        </w:tc>
        <w:tc>
          <w:tcPr>
            <w:tcW w:w="783" w:type="dxa"/>
            <w:tcBorders>
              <w:tl2br w:val="nil"/>
              <w:tr2bl w:val="nil"/>
            </w:tcBorders>
            <w:vAlign w:val="center"/>
          </w:tcPr>
          <w:p>
            <w:pPr>
              <w:widowControl/>
              <w:adjustRightInd w:val="0"/>
              <w:snapToGrid w:val="0"/>
              <w:jc w:val="center"/>
              <w:rPr>
                <w:rFonts w:ascii="方正书宋_GBK" w:eastAsia="方正书宋_GBK"/>
              </w:rPr>
            </w:pPr>
          </w:p>
        </w:tc>
        <w:tc>
          <w:tcPr>
            <w:tcW w:w="920" w:type="dxa"/>
            <w:tcBorders>
              <w:tl2br w:val="nil"/>
              <w:tr2bl w:val="nil"/>
            </w:tcBorders>
            <w:vAlign w:val="center"/>
          </w:tcPr>
          <w:p>
            <w:pPr>
              <w:widowControl/>
              <w:adjustRightInd w:val="0"/>
              <w:snapToGrid w:val="0"/>
              <w:jc w:val="center"/>
              <w:rPr>
                <w:rFonts w:ascii="方正书宋_GBK" w:eastAsia="方正书宋_GBK"/>
              </w:rPr>
            </w:pPr>
          </w:p>
        </w:tc>
        <w:tc>
          <w:tcPr>
            <w:tcW w:w="2050" w:type="dxa"/>
            <w:tcBorders>
              <w:tl2br w:val="nil"/>
              <w:tr2bl w:val="nil"/>
            </w:tcBorders>
            <w:vAlign w:val="center"/>
          </w:tcPr>
          <w:p>
            <w:pPr>
              <w:widowControl/>
              <w:adjustRightInd w:val="0"/>
              <w:snapToGrid w:val="0"/>
              <w:jc w:val="center"/>
              <w:rPr>
                <w:rFonts w:ascii="方正书宋_GBK" w:eastAsia="方正书宋_GBK"/>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1" w:type="dxa"/>
            <w:bottom w:w="0" w:type="dxa"/>
            <w:right w:w="11" w:type="dxa"/>
          </w:tblCellMar>
        </w:tblPrEx>
        <w:trPr>
          <w:trHeight w:val="610" w:hRule="atLeast"/>
        </w:trPr>
        <w:tc>
          <w:tcPr>
            <w:tcW w:w="896" w:type="dxa"/>
            <w:vMerge w:val="continue"/>
            <w:tcBorders>
              <w:tl2br w:val="nil"/>
              <w:tr2bl w:val="nil"/>
            </w:tcBorders>
            <w:vAlign w:val="center"/>
          </w:tcPr>
          <w:p/>
        </w:tc>
        <w:tc>
          <w:tcPr>
            <w:tcW w:w="1324" w:type="dxa"/>
            <w:tcBorders>
              <w:tl2br w:val="nil"/>
              <w:tr2bl w:val="nil"/>
            </w:tcBorders>
            <w:vAlign w:val="center"/>
          </w:tcPr>
          <w:p>
            <w:pPr>
              <w:widowControl/>
              <w:adjustRightInd w:val="0"/>
              <w:snapToGrid w:val="0"/>
              <w:jc w:val="center"/>
              <w:rPr>
                <w:rFonts w:ascii="方正书宋_GBK" w:eastAsia="方正书宋_GBK"/>
              </w:rPr>
            </w:pPr>
            <w:r>
              <w:rPr>
                <w:rFonts w:hint="eastAsia" w:ascii="方正书宋_GBK" w:eastAsia="方正书宋_GBK"/>
              </w:rPr>
              <w:t>满意度</w:t>
            </w:r>
          </w:p>
        </w:tc>
        <w:tc>
          <w:tcPr>
            <w:tcW w:w="1440" w:type="dxa"/>
            <w:tcBorders>
              <w:tl2br w:val="nil"/>
              <w:tr2bl w:val="nil"/>
            </w:tcBorders>
            <w:noWrap/>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办案人员被投诉次数</w:t>
            </w:r>
          </w:p>
        </w:tc>
        <w:tc>
          <w:tcPr>
            <w:tcW w:w="3487" w:type="dxa"/>
            <w:tcBorders>
              <w:tl2br w:val="nil"/>
              <w:tr2bl w:val="nil"/>
            </w:tcBorders>
            <w:noWrap/>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按比例评定满意率</w:t>
            </w:r>
          </w:p>
        </w:tc>
        <w:tc>
          <w:tcPr>
            <w:tcW w:w="2381" w:type="dxa"/>
            <w:tcBorders>
              <w:tl2br w:val="nil"/>
              <w:tr2bl w:val="nil"/>
            </w:tcBorders>
            <w:noWrap/>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办案人员因为行为不规范被投诉的情况</w:t>
            </w:r>
          </w:p>
        </w:tc>
        <w:tc>
          <w:tcPr>
            <w:tcW w:w="872"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sz w:val="18"/>
                <w:szCs w:val="18"/>
              </w:rPr>
              <w:t>≤</w:t>
            </w:r>
          </w:p>
        </w:tc>
        <w:tc>
          <w:tcPr>
            <w:tcW w:w="783"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920" w:type="dxa"/>
            <w:tcBorders>
              <w:tl2br w:val="nil"/>
              <w:tr2bl w:val="nil"/>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次</w:t>
            </w:r>
          </w:p>
        </w:tc>
        <w:tc>
          <w:tcPr>
            <w:tcW w:w="2050" w:type="dxa"/>
            <w:tcBorders>
              <w:tl2br w:val="nil"/>
              <w:tr2bl w:val="nil"/>
            </w:tcBorders>
            <w:vAlign w:val="center"/>
          </w:tcPr>
          <w:p>
            <w:pPr>
              <w:widowControl/>
              <w:adjustRightInd w:val="0"/>
              <w:snapToGrid w:val="0"/>
              <w:jc w:val="center"/>
              <w:rPr>
                <w:rFonts w:ascii="方正书宋_GBK" w:eastAsia="方正书宋_GBK"/>
              </w:rPr>
            </w:pPr>
            <w:r>
              <w:rPr>
                <w:rFonts w:hint="eastAsia" w:ascii="方正书宋_GBK" w:eastAsia="方正书宋_GBK"/>
              </w:rPr>
              <w:t>计划标准</w:t>
            </w:r>
          </w:p>
        </w:tc>
      </w:tr>
    </w:tbl>
    <w:p>
      <w:pPr>
        <w:spacing w:line="584" w:lineRule="exact"/>
        <w:ind w:firstLine="640" w:firstLineChars="200"/>
        <w:rPr>
          <w:rFonts w:ascii="Times New Roman" w:hAnsi="黑体" w:eastAsia="黑体" w:cs="Times New Roman"/>
          <w:sz w:val="32"/>
          <w:szCs w:val="32"/>
        </w:rPr>
      </w:pPr>
    </w:p>
    <w:p>
      <w:pPr>
        <w:spacing w:line="584" w:lineRule="exact"/>
        <w:ind w:firstLine="640" w:firstLineChars="200"/>
        <w:rPr>
          <w:rFonts w:ascii="Times New Roman" w:hAnsi="Times New Roman" w:eastAsia="楷体_GB2312" w:cs="Times New Roman"/>
          <w:b/>
          <w:color w:val="FF0000"/>
          <w:sz w:val="32"/>
          <w:szCs w:val="32"/>
        </w:rPr>
      </w:pPr>
      <w:r>
        <w:rPr>
          <w:rFonts w:hint="eastAsia" w:ascii="Times New Roman" w:hAnsi="黑体" w:eastAsia="黑体" w:cs="Times New Roman"/>
          <w:sz w:val="32"/>
          <w:szCs w:val="32"/>
        </w:rPr>
        <w:t>第二部分 资金绩效目标</w:t>
      </w:r>
      <w:bookmarkEnd w:id="0"/>
    </w:p>
    <w:tbl>
      <w:tblPr>
        <w:tblStyle w:val="9"/>
        <w:tblpPr w:leftFromText="180" w:rightFromText="180" w:vertAnchor="page" w:horzAnchor="page" w:tblpX="1097" w:tblpY="1479"/>
        <w:tblOverlap w:val="never"/>
        <w:tblW w:w="14743" w:type="dxa"/>
        <w:tblInd w:w="0" w:type="dxa"/>
        <w:tblLayout w:type="fixed"/>
        <w:tblCellMar>
          <w:top w:w="0" w:type="dxa"/>
          <w:left w:w="108" w:type="dxa"/>
          <w:bottom w:w="0" w:type="dxa"/>
          <w:right w:w="108" w:type="dxa"/>
        </w:tblCellMar>
      </w:tblPr>
      <w:tblGrid>
        <w:gridCol w:w="1660"/>
        <w:gridCol w:w="1543"/>
        <w:gridCol w:w="2403"/>
        <w:gridCol w:w="2906"/>
        <w:gridCol w:w="1514"/>
        <w:gridCol w:w="976"/>
        <w:gridCol w:w="1454"/>
        <w:gridCol w:w="2287"/>
      </w:tblGrid>
      <w:tr>
        <w:tblPrEx>
          <w:tblCellMar>
            <w:top w:w="0" w:type="dxa"/>
            <w:left w:w="108" w:type="dxa"/>
            <w:bottom w:w="0" w:type="dxa"/>
            <w:right w:w="108" w:type="dxa"/>
          </w:tblCellMar>
        </w:tblPrEx>
        <w:trPr>
          <w:trHeight w:val="609" w:hRule="atLeast"/>
        </w:trPr>
        <w:tc>
          <w:tcPr>
            <w:tcW w:w="14743" w:type="dxa"/>
            <w:gridSpan w:val="8"/>
            <w:tcBorders>
              <w:top w:val="nil"/>
              <w:left w:val="nil"/>
              <w:bottom w:val="single" w:color="auto" w:sz="4" w:space="0"/>
              <w:right w:val="nil"/>
            </w:tcBorders>
            <w:vAlign w:val="center"/>
          </w:tcPr>
          <w:p>
            <w:pPr>
              <w:widowControl/>
              <w:rPr>
                <w:rFonts w:ascii="宋体" w:hAnsi="宋体" w:eastAsia="宋体" w:cs="宋体"/>
                <w:b/>
                <w:bCs/>
                <w:color w:val="000000"/>
                <w:kern w:val="0"/>
                <w:sz w:val="32"/>
                <w:szCs w:val="32"/>
              </w:rPr>
            </w:pPr>
            <w:r>
              <w:rPr>
                <w:rFonts w:hint="eastAsia" w:ascii="宋体" w:hAnsi="宋体" w:eastAsia="宋体" w:cs="宋体"/>
                <w:b/>
                <w:bCs/>
                <w:color w:val="000000"/>
                <w:kern w:val="0"/>
                <w:sz w:val="32"/>
                <w:szCs w:val="32"/>
              </w:rPr>
              <w:t>1</w:t>
            </w:r>
            <w:r>
              <w:rPr>
                <w:rFonts w:ascii="宋体" w:hAnsi="宋体" w:eastAsia="宋体" w:cs="宋体"/>
                <w:b/>
                <w:bCs/>
                <w:color w:val="000000"/>
                <w:kern w:val="0"/>
                <w:sz w:val="32"/>
                <w:szCs w:val="32"/>
              </w:rPr>
              <w:t>.</w:t>
            </w:r>
            <w:r>
              <w:rPr>
                <w:rFonts w:hint="eastAsia" w:ascii="宋体" w:hAnsi="宋体" w:eastAsia="宋体" w:cs="宋体"/>
                <w:b/>
                <w:bCs/>
                <w:color w:val="000000"/>
                <w:kern w:val="0"/>
                <w:sz w:val="32"/>
                <w:szCs w:val="32"/>
              </w:rPr>
              <w:t>纪律审查项目经费绩效目标表</w:t>
            </w:r>
          </w:p>
          <w:p>
            <w:pPr>
              <w:widowControl/>
              <w:rPr>
                <w:rFonts w:ascii="宋体" w:hAnsi="宋体" w:eastAsia="宋体" w:cs="宋体"/>
                <w:color w:val="000000"/>
                <w:kern w:val="0"/>
                <w:sz w:val="22"/>
              </w:rPr>
            </w:pPr>
          </w:p>
        </w:tc>
      </w:tr>
      <w:tr>
        <w:tblPrEx>
          <w:tblCellMar>
            <w:top w:w="0" w:type="dxa"/>
            <w:left w:w="108" w:type="dxa"/>
            <w:bottom w:w="0" w:type="dxa"/>
            <w:right w:w="108" w:type="dxa"/>
          </w:tblCellMar>
        </w:tblPrEx>
        <w:trPr>
          <w:trHeight w:val="497"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6231"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纪律审查项目经费</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7"/>
            <w:tcBorders>
              <w:top w:val="nil"/>
              <w:left w:val="nil"/>
              <w:bottom w:val="single" w:color="auto" w:sz="4" w:space="0"/>
              <w:right w:val="single" w:color="auto" w:sz="4" w:space="0"/>
            </w:tcBorders>
            <w:vAlign w:val="center"/>
          </w:tcPr>
          <w:p>
            <w:pPr>
              <w:jc w:val="left"/>
              <w:rPr>
                <w:rFonts w:ascii="宋体" w:hAnsi="宋体" w:eastAsia="宋体" w:cs="宋体"/>
                <w:sz w:val="18"/>
                <w:szCs w:val="18"/>
              </w:rPr>
            </w:pPr>
            <w:r>
              <w:rPr>
                <w:rFonts w:hint="eastAsia"/>
                <w:sz w:val="18"/>
                <w:szCs w:val="18"/>
              </w:rPr>
              <w:t>预算数440.30元。其中：财政资金440.30元。主要用于纪委纪律审查及其他职能业务的开展。</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290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944"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25%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50%</w:t>
            </w:r>
          </w:p>
        </w:tc>
        <w:tc>
          <w:tcPr>
            <w:tcW w:w="3944" w:type="dxa"/>
            <w:gridSpan w:val="3"/>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75%　</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455"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540" w:type="dxa"/>
            <w:gridSpan w:val="6"/>
            <w:tcBorders>
              <w:top w:val="single" w:color="auto" w:sz="4" w:space="0"/>
              <w:left w:val="nil"/>
              <w:bottom w:val="single" w:color="auto" w:sz="4" w:space="0"/>
              <w:right w:val="single" w:color="000000" w:sz="4" w:space="0"/>
            </w:tcBorders>
            <w:vAlign w:val="center"/>
          </w:tcPr>
          <w:p>
            <w:pPr>
              <w:jc w:val="center"/>
              <w:rPr>
                <w:rFonts w:ascii="宋体" w:hAnsi="宋体" w:eastAsia="宋体" w:cs="宋体"/>
                <w:sz w:val="18"/>
                <w:szCs w:val="18"/>
              </w:rPr>
            </w:pPr>
            <w:r>
              <w:rPr>
                <w:rFonts w:hint="eastAsia"/>
                <w:sz w:val="18"/>
                <w:szCs w:val="18"/>
              </w:rPr>
              <w:t>加大执纪监督力度，深入改进作风，营造廉洁勤政、务实高效的工作氛围，推动反腐倡廉建设，促进党群干部及社会各方面关系和谐。</w:t>
            </w:r>
          </w:p>
          <w:p>
            <w:pPr>
              <w:jc w:val="left"/>
              <w:rPr>
                <w:rFonts w:ascii="宋体" w:hAnsi="宋体" w:eastAsia="宋体" w:cs="宋体"/>
                <w:sz w:val="18"/>
                <w:szCs w:val="18"/>
              </w:rPr>
            </w:pPr>
            <w:r>
              <w:rPr>
                <w:rFonts w:hint="eastAsia"/>
                <w:sz w:val="18"/>
                <w:szCs w:val="18"/>
              </w:rPr>
              <w:t>严肃查处各种违法违纪案件，保持查办案件高压态势，形成有力震慑。</w:t>
            </w:r>
          </w:p>
        </w:tc>
      </w:tr>
      <w:tr>
        <w:tblPrEx>
          <w:tblCellMar>
            <w:top w:w="0" w:type="dxa"/>
            <w:left w:w="108" w:type="dxa"/>
            <w:bottom w:w="0" w:type="dxa"/>
            <w:right w:w="108" w:type="dxa"/>
          </w:tblCellMar>
        </w:tblPrEx>
        <w:trPr>
          <w:trHeight w:val="454"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5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40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2906"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944" w:type="dxa"/>
            <w:gridSpan w:val="3"/>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287"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454"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40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90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14"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976"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454"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28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351"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543"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查处案件数</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案件查处数</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w:t>
            </w:r>
          </w:p>
        </w:tc>
        <w:tc>
          <w:tcPr>
            <w:tcW w:w="97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85</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件</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立案案件办结率</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办立案案件办结率</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97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案件办理时限达标率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案件办理时限达标率</w:t>
            </w:r>
          </w:p>
        </w:tc>
        <w:tc>
          <w:tcPr>
            <w:tcW w:w="1514" w:type="dxa"/>
            <w:tcBorders>
              <w:top w:val="single" w:color="auto" w:sz="4" w:space="0"/>
              <w:left w:val="nil"/>
              <w:bottom w:val="single" w:color="auto" w:sz="4" w:space="0"/>
              <w:right w:val="single" w:color="auto" w:sz="4" w:space="0"/>
            </w:tcBorders>
            <w:vAlign w:val="center"/>
          </w:tcPr>
          <w:p>
            <w:pPr>
              <w:jc w:val="center"/>
              <w:rPr>
                <w:rFonts w:ascii="宋体" w:hAnsi="宋体" w:eastAsia="宋体" w:cs="宋体"/>
                <w:sz w:val="18"/>
                <w:szCs w:val="18"/>
              </w:rPr>
            </w:pPr>
            <w:r>
              <w:rPr>
                <w:rFonts w:hint="eastAsia" w:ascii="宋体" w:hAnsi="宋体" w:eastAsia="宋体" w:cs="宋体"/>
                <w:kern w:val="0"/>
                <w:sz w:val="18"/>
                <w:szCs w:val="18"/>
              </w:rPr>
              <w:t>≥</w:t>
            </w:r>
          </w:p>
        </w:tc>
        <w:tc>
          <w:tcPr>
            <w:tcW w:w="97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项目总成本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项目总成本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sz w:val="18"/>
                <w:szCs w:val="18"/>
              </w:rPr>
              <w:t>≤</w:t>
            </w:r>
          </w:p>
        </w:tc>
        <w:tc>
          <w:tcPr>
            <w:tcW w:w="97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440.30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经济效益指标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挽回经济损失（万元</w:t>
            </w:r>
            <w:r>
              <w:rPr>
                <w:rFonts w:ascii="宋体" w:hAnsi="宋体" w:eastAsia="宋体" w:cs="宋体"/>
                <w:kern w:val="0"/>
                <w:sz w:val="18"/>
                <w:szCs w:val="18"/>
              </w:rPr>
              <w:t>)</w:t>
            </w:r>
            <w:r>
              <w:rPr>
                <w:rFonts w:hint="eastAsia" w:ascii="宋体" w:hAnsi="宋体" w:eastAsia="宋体" w:cs="宋体"/>
                <w:kern w:val="0"/>
                <w:sz w:val="18"/>
                <w:szCs w:val="18"/>
              </w:rPr>
              <w:t>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查处案件所挽回的经济损失金额</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97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社会效益指标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通过宣传、办案等进一步扩大影响，在全县范围内形成不敢腐的氛围</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加大案件查处力度，党风廉政宣传力度，对腐败份子形成震慑作用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97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1454" w:type="dxa"/>
            <w:tcBorders>
              <w:top w:val="single" w:color="auto" w:sz="4" w:space="0"/>
              <w:left w:val="single" w:color="auto" w:sz="4" w:space="0"/>
              <w:bottom w:val="single" w:color="auto" w:sz="4" w:space="0"/>
              <w:right w:val="single" w:color="000000" w:sz="4" w:space="0"/>
            </w:tcBorders>
            <w:vAlign w:val="center"/>
          </w:tcPr>
          <w:p>
            <w:pPr>
              <w:widowControl/>
              <w:rPr>
                <w:rFonts w:ascii="宋体" w:hAnsi="宋体" w:eastAsia="宋体" w:cs="宋体"/>
                <w:kern w:val="0"/>
                <w:sz w:val="18"/>
                <w:szCs w:val="18"/>
              </w:rPr>
            </w:pPr>
            <w:r>
              <w:rPr>
                <w:rFonts w:hint="eastAsia" w:ascii="宋体" w:hAnsi="宋体" w:eastAsia="宋体" w:cs="宋体"/>
                <w:kern w:val="0"/>
                <w:sz w:val="18"/>
                <w:szCs w:val="18"/>
              </w:rPr>
              <w:t>进一步扩大影响</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522"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生态效益指标</w:t>
            </w:r>
          </w:p>
        </w:tc>
        <w:tc>
          <w:tcPr>
            <w:tcW w:w="2403" w:type="dxa"/>
            <w:tcBorders>
              <w:top w:val="nil"/>
              <w:left w:val="nil"/>
              <w:bottom w:val="single" w:color="auto" w:sz="4" w:space="0"/>
              <w:right w:val="single" w:color="auto" w:sz="4" w:space="0"/>
            </w:tcBorders>
            <w:vAlign w:val="center"/>
          </w:tcPr>
          <w:p>
            <w:pPr>
              <w:widowControl/>
              <w:rPr>
                <w:rFonts w:ascii="宋体" w:hAnsi="宋体" w:eastAsia="宋体" w:cs="宋体"/>
                <w:kern w:val="0"/>
                <w:sz w:val="18"/>
                <w:szCs w:val="18"/>
              </w:rPr>
            </w:pPr>
            <w:r>
              <w:rPr>
                <w:rFonts w:hint="eastAsia" w:ascii="宋体" w:hAnsi="宋体" w:eastAsia="宋体" w:cs="宋体"/>
                <w:kern w:val="0"/>
                <w:sz w:val="18"/>
                <w:szCs w:val="18"/>
              </w:rPr>
              <w:t>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7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403" w:type="dxa"/>
            <w:tcBorders>
              <w:top w:val="nil"/>
              <w:left w:val="nil"/>
              <w:bottom w:val="single" w:color="auto" w:sz="4" w:space="0"/>
              <w:right w:val="single" w:color="auto" w:sz="4" w:space="0"/>
            </w:tcBorders>
            <w:vAlign w:val="center"/>
          </w:tcPr>
          <w:p>
            <w:pPr>
              <w:widowControl/>
              <w:rPr>
                <w:rFonts w:ascii="宋体" w:hAnsi="宋体" w:eastAsia="宋体" w:cs="宋体"/>
                <w:kern w:val="0"/>
                <w:sz w:val="18"/>
                <w:szCs w:val="18"/>
              </w:rPr>
            </w:pPr>
          </w:p>
          <w:p>
            <w:pPr>
              <w:widowControl/>
              <w:rPr>
                <w:rFonts w:ascii="宋体" w:hAnsi="宋体" w:eastAsia="宋体" w:cs="宋体"/>
                <w:kern w:val="0"/>
                <w:sz w:val="18"/>
                <w:szCs w:val="18"/>
              </w:rPr>
            </w:pPr>
            <w:r>
              <w:rPr>
                <w:rFonts w:hint="eastAsia" w:ascii="宋体" w:hAnsi="宋体" w:eastAsia="宋体" w:cs="宋体"/>
                <w:kern w:val="0"/>
                <w:sz w:val="18"/>
                <w:szCs w:val="18"/>
              </w:rPr>
              <w:t>管理与实施制度的健全性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7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健全</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683"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5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40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办案人员被投诉次数</w:t>
            </w:r>
          </w:p>
        </w:tc>
        <w:tc>
          <w:tcPr>
            <w:tcW w:w="290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办案人员因为行为不规范被投诉的情况</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sz w:val="18"/>
                <w:szCs w:val="18"/>
              </w:rPr>
              <w:t>≤</w:t>
            </w:r>
          </w:p>
        </w:tc>
        <w:tc>
          <w:tcPr>
            <w:tcW w:w="97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次</w:t>
            </w:r>
          </w:p>
        </w:tc>
        <w:tc>
          <w:tcPr>
            <w:tcW w:w="2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ascii="宋体" w:hAnsi="宋体" w:eastAsia="宋体" w:cs="宋体"/>
                <w:b/>
                <w:bCs/>
                <w:kern w:val="0"/>
                <w:sz w:val="18"/>
                <w:szCs w:val="18"/>
              </w:rPr>
              <w:t>计划标准</w:t>
            </w:r>
          </w:p>
        </w:tc>
      </w:tr>
    </w:tbl>
    <w:p>
      <w:pPr>
        <w:spacing w:line="584" w:lineRule="exact"/>
        <w:jc w:val="left"/>
        <w:outlineLvl w:val="0"/>
        <w:rPr>
          <w:rFonts w:ascii="Times New Roman" w:hAnsi="Times New Roman" w:eastAsia="仿宋_GB2312" w:cs="Times New Roman"/>
        </w:rPr>
        <w:sectPr>
          <w:footerReference r:id="rId3" w:type="default"/>
          <w:pgSz w:w="16839" w:h="11907" w:orient="landscape"/>
          <w:pgMar w:top="1020" w:right="1361" w:bottom="1020" w:left="1361" w:header="851" w:footer="992" w:gutter="0"/>
          <w:cols w:space="425" w:num="1"/>
          <w:titlePg/>
          <w:docGrid w:type="lines" w:linePitch="312" w:charSpace="0"/>
        </w:sectPr>
      </w:pPr>
    </w:p>
    <w:tbl>
      <w:tblPr>
        <w:tblStyle w:val="9"/>
        <w:tblpPr w:leftFromText="180" w:rightFromText="180" w:vertAnchor="page" w:horzAnchor="page" w:tblpX="1097" w:tblpY="1479"/>
        <w:tblOverlap w:val="never"/>
        <w:tblW w:w="14743" w:type="dxa"/>
        <w:tblInd w:w="0" w:type="dxa"/>
        <w:tblLayout w:type="fixed"/>
        <w:tblCellMar>
          <w:top w:w="0" w:type="dxa"/>
          <w:left w:w="108" w:type="dxa"/>
          <w:bottom w:w="0" w:type="dxa"/>
          <w:right w:w="108" w:type="dxa"/>
        </w:tblCellMar>
      </w:tblPr>
      <w:tblGrid>
        <w:gridCol w:w="1660"/>
        <w:gridCol w:w="1543"/>
        <w:gridCol w:w="2403"/>
        <w:gridCol w:w="2906"/>
        <w:gridCol w:w="1514"/>
        <w:gridCol w:w="714"/>
        <w:gridCol w:w="262"/>
        <w:gridCol w:w="1454"/>
        <w:gridCol w:w="2287"/>
      </w:tblGrid>
      <w:tr>
        <w:tblPrEx>
          <w:tblCellMar>
            <w:top w:w="0" w:type="dxa"/>
            <w:left w:w="108" w:type="dxa"/>
            <w:bottom w:w="0" w:type="dxa"/>
            <w:right w:w="108" w:type="dxa"/>
          </w:tblCellMar>
        </w:tblPrEx>
        <w:trPr>
          <w:trHeight w:val="609" w:hRule="atLeast"/>
        </w:trPr>
        <w:tc>
          <w:tcPr>
            <w:tcW w:w="14743" w:type="dxa"/>
            <w:gridSpan w:val="9"/>
            <w:tcBorders>
              <w:top w:val="nil"/>
              <w:left w:val="nil"/>
              <w:bottom w:val="single" w:color="auto" w:sz="4" w:space="0"/>
              <w:right w:val="nil"/>
            </w:tcBorders>
            <w:vAlign w:val="center"/>
          </w:tcPr>
          <w:p>
            <w:pPr>
              <w:widowControl/>
              <w:rPr>
                <w:rFonts w:ascii="宋体" w:hAnsi="宋体" w:eastAsia="宋体" w:cs="宋体"/>
                <w:color w:val="000000"/>
                <w:kern w:val="0"/>
                <w:sz w:val="22"/>
              </w:rPr>
            </w:pPr>
            <w:r>
              <w:rPr>
                <w:rFonts w:hint="eastAsia" w:ascii="宋体" w:hAnsi="宋体" w:eastAsia="宋体" w:cs="宋体"/>
                <w:b/>
                <w:bCs/>
                <w:color w:val="000000"/>
                <w:kern w:val="0"/>
                <w:sz w:val="32"/>
                <w:szCs w:val="32"/>
              </w:rPr>
              <w:t>2</w:t>
            </w:r>
            <w:r>
              <w:rPr>
                <w:rFonts w:ascii="宋体" w:hAnsi="宋体" w:eastAsia="宋体" w:cs="宋体"/>
                <w:b/>
                <w:bCs/>
                <w:color w:val="000000"/>
                <w:kern w:val="0"/>
                <w:sz w:val="32"/>
                <w:szCs w:val="32"/>
              </w:rPr>
              <w:t>.</w:t>
            </w:r>
            <w:r>
              <w:rPr>
                <w:rFonts w:hint="eastAsia" w:ascii="宋体" w:hAnsi="宋体" w:eastAsia="宋体" w:cs="宋体"/>
                <w:b/>
                <w:bCs/>
                <w:color w:val="000000"/>
                <w:kern w:val="0"/>
                <w:sz w:val="32"/>
                <w:szCs w:val="32"/>
              </w:rPr>
              <w:t>巡察工作项目经费绩效目标表</w:t>
            </w:r>
          </w:p>
        </w:tc>
      </w:tr>
      <w:tr>
        <w:tblPrEx>
          <w:tblCellMar>
            <w:top w:w="0" w:type="dxa"/>
            <w:left w:w="108" w:type="dxa"/>
            <w:bottom w:w="0" w:type="dxa"/>
            <w:right w:w="108" w:type="dxa"/>
          </w:tblCellMar>
        </w:tblPrEx>
        <w:trPr>
          <w:trHeight w:val="497"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6231" w:type="dxa"/>
            <w:gridSpan w:val="5"/>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巡察工作项目　</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8"/>
            <w:tcBorders>
              <w:top w:val="nil"/>
              <w:left w:val="nil"/>
              <w:bottom w:val="single" w:color="auto" w:sz="4" w:space="0"/>
              <w:right w:val="single" w:color="auto" w:sz="4" w:space="0"/>
            </w:tcBorders>
            <w:vAlign w:val="center"/>
          </w:tcPr>
          <w:p>
            <w:pPr>
              <w:jc w:val="left"/>
              <w:rPr>
                <w:rFonts w:ascii="宋体" w:hAnsi="宋体" w:eastAsia="宋体" w:cs="宋体"/>
                <w:kern w:val="0"/>
                <w:sz w:val="18"/>
                <w:szCs w:val="18"/>
              </w:rPr>
            </w:pPr>
            <w:r>
              <w:rPr>
                <w:rFonts w:hint="eastAsia" w:ascii="宋体" w:hAnsi="宋体" w:eastAsia="宋体" w:cs="宋体"/>
                <w:kern w:val="0"/>
                <w:sz w:val="18"/>
                <w:szCs w:val="18"/>
              </w:rPr>
              <w:t>项目总资金50万元，用于全县巡察工作的开展。</w:t>
            </w:r>
            <w:r>
              <w:rPr>
                <w:rFonts w:ascii="宋体" w:hAnsi="宋体" w:eastAsia="宋体" w:cs="宋体"/>
                <w:kern w:val="0"/>
                <w:sz w:val="18"/>
                <w:szCs w:val="18"/>
              </w:rPr>
              <w:t>2019年12月，完成巡察工作项目审批工作；2020年1月开始实施本项目；至2020年3月份，进度为20%；6月份进度为45%，9月分进度为75%；12月底达到100%；完成本项目</w:t>
            </w: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290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944"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25%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50%　</w:t>
            </w:r>
          </w:p>
        </w:tc>
        <w:tc>
          <w:tcPr>
            <w:tcW w:w="3944"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75%　</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349"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540" w:type="dxa"/>
            <w:gridSpan w:val="7"/>
            <w:tcBorders>
              <w:top w:val="single" w:color="auto" w:sz="4" w:space="0"/>
              <w:left w:val="nil"/>
              <w:bottom w:val="single" w:color="auto" w:sz="4" w:space="0"/>
              <w:right w:val="single" w:color="000000" w:sz="4" w:space="0"/>
            </w:tcBorders>
            <w:vAlign w:val="center"/>
          </w:tcPr>
          <w:p>
            <w:pPr>
              <w:widowControl/>
              <w:jc w:val="left"/>
              <w:rPr>
                <w:rFonts w:ascii="宋体" w:hAnsi="宋体" w:eastAsia="宋体" w:cs="宋体"/>
                <w:kern w:val="0"/>
                <w:sz w:val="18"/>
                <w:szCs w:val="18"/>
              </w:rPr>
            </w:pPr>
            <w:r>
              <w:rPr>
                <w:rFonts w:hint="eastAsia" w:ascii="宋体" w:hAnsi="宋体" w:eastAsia="宋体" w:cs="宋体"/>
                <w:kern w:val="0"/>
                <w:sz w:val="18"/>
                <w:szCs w:val="18"/>
              </w:rPr>
              <w:t>对部分县直和乡镇部分单位进行巡察，发现涉纪、涉法、涉人等方面的问题，并及时纠正。。　</w:t>
            </w:r>
          </w:p>
        </w:tc>
      </w:tr>
      <w:tr>
        <w:tblPrEx>
          <w:tblCellMar>
            <w:top w:w="0" w:type="dxa"/>
            <w:left w:w="108" w:type="dxa"/>
            <w:bottom w:w="0" w:type="dxa"/>
            <w:right w:w="108" w:type="dxa"/>
          </w:tblCellMar>
        </w:tblPrEx>
        <w:trPr>
          <w:trHeight w:val="271"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5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40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2906"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944" w:type="dxa"/>
            <w:gridSpan w:val="4"/>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287"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505"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40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90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14"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714"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716" w:type="dxa"/>
            <w:gridSpan w:val="2"/>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28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351"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543"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巡察单位数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巡察单位数量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w:t>
            </w:r>
          </w:p>
        </w:tc>
        <w:tc>
          <w:tcPr>
            <w:tcW w:w="7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10</w:t>
            </w:r>
          </w:p>
        </w:tc>
        <w:tc>
          <w:tcPr>
            <w:tcW w:w="1716"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个</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计划标准　</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巡察工作完成率</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实际完成巡察完成数与计划巡察完成数的比例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ascii="宋体" w:hAnsi="宋体" w:eastAsia="宋体" w:cs="宋体"/>
                <w:b/>
                <w:bCs/>
                <w:kern w:val="0"/>
                <w:sz w:val="18"/>
                <w:szCs w:val="18"/>
              </w:rPr>
              <w:t>≥</w:t>
            </w:r>
          </w:p>
        </w:tc>
        <w:tc>
          <w:tcPr>
            <w:tcW w:w="7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90</w:t>
            </w:r>
          </w:p>
        </w:tc>
        <w:tc>
          <w:tcPr>
            <w:tcW w:w="1716"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工作任务完成及时率</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工作任务完成及时率</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w:t>
            </w:r>
          </w:p>
        </w:tc>
        <w:tc>
          <w:tcPr>
            <w:tcW w:w="7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90</w:t>
            </w:r>
          </w:p>
        </w:tc>
        <w:tc>
          <w:tcPr>
            <w:tcW w:w="1716"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770"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项目总成本</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项目总成本</w:t>
            </w:r>
          </w:p>
        </w:tc>
        <w:tc>
          <w:tcPr>
            <w:tcW w:w="1514" w:type="dxa"/>
            <w:tcBorders>
              <w:top w:val="single" w:color="auto" w:sz="4" w:space="0"/>
              <w:left w:val="nil"/>
              <w:bottom w:val="single" w:color="auto" w:sz="4" w:space="0"/>
              <w:right w:val="single" w:color="auto" w:sz="4" w:space="0"/>
            </w:tcBorders>
            <w:vAlign w:val="center"/>
          </w:tcPr>
          <w:p>
            <w:pPr>
              <w:jc w:val="center"/>
              <w:rPr>
                <w:rFonts w:ascii="宋体" w:hAnsi="宋体" w:eastAsia="宋体" w:cs="宋体"/>
                <w:sz w:val="18"/>
                <w:szCs w:val="18"/>
              </w:rPr>
            </w:pPr>
            <w:r>
              <w:rPr>
                <w:rFonts w:hint="eastAsia"/>
                <w:sz w:val="18"/>
                <w:szCs w:val="18"/>
              </w:rPr>
              <w:t>≤</w:t>
            </w:r>
          </w:p>
        </w:tc>
        <w:tc>
          <w:tcPr>
            <w:tcW w:w="7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66</w:t>
            </w:r>
          </w:p>
        </w:tc>
        <w:tc>
          <w:tcPr>
            <w:tcW w:w="1716"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经济效益指标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问题整改落实率</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反映巡察中发现问题的整改落实情况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ascii="宋体" w:hAnsi="宋体" w:eastAsia="宋体" w:cs="宋体"/>
                <w:b/>
                <w:bCs/>
                <w:kern w:val="0"/>
                <w:sz w:val="18"/>
                <w:szCs w:val="18"/>
              </w:rPr>
              <w:t>≥</w:t>
            </w:r>
          </w:p>
        </w:tc>
        <w:tc>
          <w:tcPr>
            <w:tcW w:w="7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90</w:t>
            </w:r>
          </w:p>
        </w:tc>
        <w:tc>
          <w:tcPr>
            <w:tcW w:w="1716"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746"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社会效益指标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纠正问题个数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纠正被巡查单位党的领导党的建设全面从严治党方面存在的问题数量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w:t>
            </w:r>
            <w:r>
              <w:rPr>
                <w:rFonts w:hint="eastAsia" w:ascii="宋体" w:hAnsi="宋体" w:eastAsia="宋体" w:cs="宋体"/>
                <w:kern w:val="0"/>
                <w:sz w:val="18"/>
                <w:szCs w:val="18"/>
              </w:rPr>
              <w:t>　</w:t>
            </w:r>
          </w:p>
        </w:tc>
        <w:tc>
          <w:tcPr>
            <w:tcW w:w="7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1716"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个</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生态效益指标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1716"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7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1716"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r>
      <w:tr>
        <w:tblPrEx>
          <w:tblCellMar>
            <w:top w:w="0" w:type="dxa"/>
            <w:left w:w="108" w:type="dxa"/>
            <w:bottom w:w="0" w:type="dxa"/>
            <w:right w:w="108" w:type="dxa"/>
          </w:tblCellMar>
        </w:tblPrEx>
        <w:trPr>
          <w:trHeight w:val="628"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5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40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巡察工作人员被投诉次数</w:t>
            </w:r>
          </w:p>
        </w:tc>
        <w:tc>
          <w:tcPr>
            <w:tcW w:w="290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巡察工作人员因为行为为规范被投诉的情况</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sz w:val="18"/>
                <w:szCs w:val="18"/>
              </w:rPr>
              <w:t>≤</w:t>
            </w:r>
          </w:p>
        </w:tc>
        <w:tc>
          <w:tcPr>
            <w:tcW w:w="7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1716" w:type="dxa"/>
            <w:gridSpan w:val="2"/>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次</w:t>
            </w:r>
          </w:p>
        </w:tc>
        <w:tc>
          <w:tcPr>
            <w:tcW w:w="2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计划标准　</w:t>
            </w:r>
          </w:p>
        </w:tc>
      </w:tr>
      <w:tr>
        <w:tblPrEx>
          <w:tblCellMar>
            <w:top w:w="0" w:type="dxa"/>
            <w:left w:w="108" w:type="dxa"/>
            <w:bottom w:w="0" w:type="dxa"/>
            <w:right w:w="108" w:type="dxa"/>
          </w:tblCellMar>
        </w:tblPrEx>
        <w:trPr>
          <w:trHeight w:val="609" w:hRule="atLeast"/>
        </w:trPr>
        <w:tc>
          <w:tcPr>
            <w:tcW w:w="14743" w:type="dxa"/>
            <w:gridSpan w:val="9"/>
            <w:tcBorders>
              <w:top w:val="nil"/>
              <w:left w:val="nil"/>
              <w:bottom w:val="single" w:color="auto" w:sz="4" w:space="0"/>
              <w:right w:val="nil"/>
            </w:tcBorders>
            <w:vAlign w:val="center"/>
          </w:tcPr>
          <w:p>
            <w:pPr>
              <w:widowControl/>
              <w:rPr>
                <w:rFonts w:ascii="宋体" w:hAnsi="宋体" w:eastAsia="宋体" w:cs="宋体"/>
                <w:color w:val="000000"/>
                <w:kern w:val="0"/>
                <w:sz w:val="22"/>
              </w:rPr>
            </w:pPr>
            <w:r>
              <w:rPr>
                <w:rFonts w:hint="eastAsia" w:ascii="宋体" w:hAnsi="宋体" w:eastAsia="宋体" w:cs="宋体"/>
                <w:b/>
                <w:bCs/>
                <w:color w:val="000000"/>
                <w:kern w:val="0"/>
                <w:sz w:val="32"/>
                <w:szCs w:val="32"/>
              </w:rPr>
              <w:t>3</w:t>
            </w:r>
            <w:r>
              <w:rPr>
                <w:rFonts w:ascii="宋体" w:hAnsi="宋体" w:eastAsia="宋体" w:cs="宋体"/>
                <w:b/>
                <w:bCs/>
                <w:color w:val="000000"/>
                <w:kern w:val="0"/>
                <w:sz w:val="32"/>
                <w:szCs w:val="32"/>
              </w:rPr>
              <w:t>.</w:t>
            </w:r>
            <w:r>
              <w:rPr>
                <w:rFonts w:hint="eastAsia" w:ascii="宋体" w:hAnsi="宋体" w:eastAsia="宋体" w:cs="宋体"/>
                <w:b/>
                <w:bCs/>
                <w:color w:val="000000"/>
                <w:kern w:val="0"/>
                <w:sz w:val="32"/>
                <w:szCs w:val="32"/>
              </w:rPr>
              <w:t>乡镇纪律审查项目经费绩效目标表</w:t>
            </w:r>
          </w:p>
        </w:tc>
      </w:tr>
      <w:tr>
        <w:tblPrEx>
          <w:tblCellMar>
            <w:top w:w="0" w:type="dxa"/>
            <w:left w:w="108" w:type="dxa"/>
            <w:bottom w:w="0" w:type="dxa"/>
            <w:right w:w="108" w:type="dxa"/>
          </w:tblCellMar>
        </w:tblPrEx>
        <w:trPr>
          <w:trHeight w:val="497"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6231" w:type="dxa"/>
            <w:gridSpan w:val="5"/>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乡镇纪律审查项目经费</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8"/>
            <w:tcBorders>
              <w:top w:val="nil"/>
              <w:left w:val="nil"/>
              <w:bottom w:val="single" w:color="auto" w:sz="4" w:space="0"/>
              <w:right w:val="single" w:color="auto" w:sz="4" w:space="0"/>
            </w:tcBorders>
            <w:vAlign w:val="center"/>
          </w:tcPr>
          <w:p>
            <w:pPr>
              <w:jc w:val="left"/>
              <w:rPr>
                <w:rFonts w:ascii="宋体" w:hAnsi="宋体" w:eastAsia="宋体" w:cs="宋体"/>
                <w:sz w:val="18"/>
                <w:szCs w:val="18"/>
              </w:rPr>
            </w:pPr>
            <w:r>
              <w:rPr>
                <w:rFonts w:hint="eastAsia"/>
                <w:sz w:val="18"/>
                <w:szCs w:val="18"/>
              </w:rPr>
              <w:t>预算数38.5元。其中：财政资金38.5。主要用于乡镇纪委纪律审查及其他职能业务的开展。</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290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944"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25%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50%</w:t>
            </w:r>
          </w:p>
        </w:tc>
        <w:tc>
          <w:tcPr>
            <w:tcW w:w="3944"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75%　</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349"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540" w:type="dxa"/>
            <w:gridSpan w:val="7"/>
            <w:tcBorders>
              <w:top w:val="single" w:color="auto" w:sz="4" w:space="0"/>
              <w:left w:val="nil"/>
              <w:bottom w:val="single" w:color="auto" w:sz="4" w:space="0"/>
              <w:right w:val="single" w:color="000000" w:sz="4" w:space="0"/>
            </w:tcBorders>
            <w:vAlign w:val="center"/>
          </w:tcPr>
          <w:p>
            <w:pPr>
              <w:jc w:val="left"/>
              <w:rPr>
                <w:rFonts w:ascii="宋体" w:hAnsi="宋体" w:eastAsia="宋体" w:cs="宋体"/>
                <w:sz w:val="18"/>
                <w:szCs w:val="18"/>
              </w:rPr>
            </w:pPr>
            <w:r>
              <w:rPr>
                <w:rFonts w:hint="eastAsia"/>
                <w:sz w:val="18"/>
                <w:szCs w:val="18"/>
              </w:rPr>
              <w:t>进一步强化乡镇纪委的工作职能，聚焦主业，切实落实好党风廉政建设和反腐败斗争各项工作任务。发挥好应承担的职能作用，持续正风肃纪，高压惩治腐败，推动从严治党向纵深发展，向基层延伸。</w:t>
            </w:r>
          </w:p>
        </w:tc>
      </w:tr>
      <w:tr>
        <w:tblPrEx>
          <w:tblCellMar>
            <w:top w:w="0" w:type="dxa"/>
            <w:left w:w="108" w:type="dxa"/>
            <w:bottom w:w="0" w:type="dxa"/>
            <w:right w:w="108" w:type="dxa"/>
          </w:tblCellMar>
        </w:tblPrEx>
        <w:trPr>
          <w:trHeight w:val="454"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5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40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2906"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944" w:type="dxa"/>
            <w:gridSpan w:val="4"/>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287"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454"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40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90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14"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976" w:type="dxa"/>
            <w:gridSpan w:val="2"/>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454"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28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351"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543"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办理案件数</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办理案件数量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10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件</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立案案件办结率</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办立案案件办结率</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案件办理时限达标率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案件办理时限达标率</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项目总成本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项目总成本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sz w:val="18"/>
                <w:szCs w:val="18"/>
              </w:rPr>
              <w:t>≤</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38.5</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经济效益指标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挽回经济损失（万元</w:t>
            </w:r>
            <w:r>
              <w:rPr>
                <w:rFonts w:ascii="宋体" w:hAnsi="宋体" w:eastAsia="宋体" w:cs="宋体"/>
                <w:kern w:val="0"/>
                <w:sz w:val="18"/>
                <w:szCs w:val="18"/>
              </w:rPr>
              <w:t>)</w:t>
            </w:r>
            <w:r>
              <w:rPr>
                <w:rFonts w:hint="eastAsia" w:ascii="宋体" w:hAnsi="宋体" w:eastAsia="宋体" w:cs="宋体"/>
                <w:kern w:val="0"/>
                <w:sz w:val="18"/>
                <w:szCs w:val="18"/>
              </w:rPr>
              <w:t>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查处案件所挽回的经济损失金额</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社会效益指标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通过宣传、办案等进一步扩大影响，在乡镇范围内形成不敢腐的氛围</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加大案件查处力度，党风廉政宣传力度，对腐败份子形成震慑作用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进一步扩大影响</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生态效益指标</w:t>
            </w:r>
          </w:p>
        </w:tc>
        <w:tc>
          <w:tcPr>
            <w:tcW w:w="2403" w:type="dxa"/>
            <w:tcBorders>
              <w:top w:val="nil"/>
              <w:left w:val="nil"/>
              <w:bottom w:val="single" w:color="auto" w:sz="4" w:space="0"/>
              <w:right w:val="single" w:color="auto" w:sz="4" w:space="0"/>
            </w:tcBorders>
            <w:vAlign w:val="center"/>
          </w:tcPr>
          <w:p>
            <w:pPr>
              <w:widowControl/>
              <w:rPr>
                <w:rFonts w:ascii="宋体" w:hAnsi="宋体" w:eastAsia="宋体" w:cs="宋体"/>
                <w:kern w:val="0"/>
                <w:sz w:val="18"/>
                <w:szCs w:val="18"/>
              </w:rPr>
            </w:pPr>
            <w:r>
              <w:rPr>
                <w:rFonts w:hint="eastAsia" w:ascii="宋体" w:hAnsi="宋体" w:eastAsia="宋体" w:cs="宋体"/>
                <w:kern w:val="0"/>
                <w:sz w:val="18"/>
                <w:szCs w:val="18"/>
              </w:rPr>
              <w:t>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403" w:type="dxa"/>
            <w:tcBorders>
              <w:top w:val="nil"/>
              <w:left w:val="nil"/>
              <w:bottom w:val="single" w:color="auto" w:sz="4" w:space="0"/>
              <w:right w:val="single" w:color="auto" w:sz="4" w:space="0"/>
            </w:tcBorders>
            <w:vAlign w:val="center"/>
          </w:tcPr>
          <w:p>
            <w:pPr>
              <w:widowControl/>
              <w:rPr>
                <w:rFonts w:ascii="宋体" w:hAnsi="宋体" w:eastAsia="宋体" w:cs="宋体"/>
                <w:kern w:val="0"/>
                <w:sz w:val="18"/>
                <w:szCs w:val="18"/>
              </w:rPr>
            </w:pPr>
          </w:p>
          <w:p>
            <w:pPr>
              <w:widowControl/>
              <w:rPr>
                <w:rFonts w:ascii="宋体" w:hAnsi="宋体" w:eastAsia="宋体" w:cs="宋体"/>
                <w:kern w:val="0"/>
                <w:sz w:val="18"/>
                <w:szCs w:val="18"/>
              </w:rPr>
            </w:pPr>
            <w:r>
              <w:rPr>
                <w:rFonts w:hint="eastAsia" w:ascii="宋体" w:hAnsi="宋体" w:eastAsia="宋体" w:cs="宋体"/>
                <w:kern w:val="0"/>
                <w:sz w:val="18"/>
                <w:szCs w:val="18"/>
              </w:rPr>
              <w:t>管理与实施制度的健全性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健全</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683"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5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40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办案人员被投诉次数</w:t>
            </w:r>
          </w:p>
        </w:tc>
        <w:tc>
          <w:tcPr>
            <w:tcW w:w="290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办案人员因为行为不规范被投诉的情况</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sz w:val="18"/>
                <w:szCs w:val="18"/>
              </w:rPr>
              <w:t>≤</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次</w:t>
            </w:r>
          </w:p>
        </w:tc>
        <w:tc>
          <w:tcPr>
            <w:tcW w:w="2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609" w:hRule="atLeast"/>
        </w:trPr>
        <w:tc>
          <w:tcPr>
            <w:tcW w:w="14743" w:type="dxa"/>
            <w:gridSpan w:val="9"/>
            <w:tcBorders>
              <w:top w:val="nil"/>
              <w:left w:val="nil"/>
              <w:bottom w:val="single" w:color="auto" w:sz="4" w:space="0"/>
              <w:right w:val="nil"/>
            </w:tcBorders>
            <w:vAlign w:val="center"/>
          </w:tcPr>
          <w:p>
            <w:pPr>
              <w:widowControl/>
              <w:rPr>
                <w:rFonts w:ascii="宋体" w:hAnsi="宋体" w:eastAsia="宋体" w:cs="宋体"/>
                <w:b/>
                <w:bCs/>
                <w:color w:val="000000"/>
                <w:kern w:val="0"/>
                <w:sz w:val="32"/>
                <w:szCs w:val="32"/>
              </w:rPr>
            </w:pPr>
            <w:r>
              <w:rPr>
                <w:rFonts w:ascii="宋体" w:hAnsi="宋体" w:eastAsia="宋体" w:cs="宋体"/>
                <w:b/>
                <w:bCs/>
                <w:color w:val="000000"/>
                <w:kern w:val="0"/>
                <w:sz w:val="32"/>
                <w:szCs w:val="32"/>
              </w:rPr>
              <w:t>4.</w:t>
            </w:r>
            <w:r>
              <w:rPr>
                <w:rFonts w:hint="eastAsia" w:ascii="宋体" w:hAnsi="宋体" w:eastAsia="宋体" w:cs="宋体"/>
                <w:b/>
                <w:bCs/>
                <w:color w:val="000000"/>
                <w:kern w:val="0"/>
                <w:sz w:val="32"/>
                <w:szCs w:val="32"/>
              </w:rPr>
              <w:t>县纪委防控督导工作项目绩效目标表</w:t>
            </w:r>
          </w:p>
        </w:tc>
      </w:tr>
      <w:tr>
        <w:tblPrEx>
          <w:tblCellMar>
            <w:top w:w="0" w:type="dxa"/>
            <w:left w:w="108" w:type="dxa"/>
            <w:bottom w:w="0" w:type="dxa"/>
            <w:right w:w="108" w:type="dxa"/>
          </w:tblCellMar>
        </w:tblPrEx>
        <w:trPr>
          <w:trHeight w:val="497" w:hRule="atLeast"/>
        </w:trPr>
        <w:tc>
          <w:tcPr>
            <w:tcW w:w="1660" w:type="dxa"/>
            <w:tcBorders>
              <w:top w:val="nil"/>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项目编码</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项目名称</w:t>
            </w:r>
          </w:p>
        </w:tc>
        <w:tc>
          <w:tcPr>
            <w:tcW w:w="6231" w:type="dxa"/>
            <w:gridSpan w:val="5"/>
            <w:tcBorders>
              <w:top w:val="single" w:color="auto" w:sz="4" w:space="0"/>
              <w:left w:val="nil"/>
              <w:bottom w:val="single" w:color="auto" w:sz="4" w:space="0"/>
              <w:right w:val="single" w:color="000000" w:sz="4" w:space="0"/>
            </w:tcBorders>
            <w:vAlign w:val="center"/>
          </w:tcPr>
          <w:p>
            <w:pPr>
              <w:widowControl/>
              <w:rPr>
                <w:rFonts w:ascii="宋体" w:hAnsi="宋体" w:eastAsia="宋体" w:cs="宋体"/>
                <w:kern w:val="0"/>
                <w:sz w:val="18"/>
                <w:szCs w:val="18"/>
              </w:rPr>
            </w:pPr>
            <w:r>
              <w:rPr>
                <w:rFonts w:hint="eastAsia" w:ascii="宋体" w:hAnsi="宋体" w:eastAsia="宋体" w:cs="宋体"/>
                <w:kern w:val="0"/>
                <w:sz w:val="18"/>
                <w:szCs w:val="18"/>
              </w:rPr>
              <w:t>县纪委防控督导工作专项经费</w:t>
            </w:r>
          </w:p>
        </w:tc>
      </w:tr>
      <w:tr>
        <w:tblPrEx>
          <w:tblCellMar>
            <w:top w:w="0" w:type="dxa"/>
            <w:left w:w="108" w:type="dxa"/>
            <w:bottom w:w="0" w:type="dxa"/>
            <w:right w:w="108" w:type="dxa"/>
          </w:tblCellMar>
        </w:tblPrEx>
        <w:trPr>
          <w:trHeight w:val="393"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资金用途</w:t>
            </w:r>
          </w:p>
        </w:tc>
        <w:tc>
          <w:tcPr>
            <w:tcW w:w="13083" w:type="dxa"/>
            <w:gridSpan w:val="8"/>
            <w:tcBorders>
              <w:top w:val="nil"/>
              <w:left w:val="nil"/>
              <w:bottom w:val="single" w:color="auto" w:sz="4" w:space="0"/>
              <w:right w:val="single" w:color="auto" w:sz="4" w:space="0"/>
            </w:tcBorders>
            <w:vAlign w:val="center"/>
          </w:tcPr>
          <w:p>
            <w:pPr>
              <w:jc w:val="left"/>
              <w:rPr>
                <w:rFonts w:ascii="宋体" w:hAnsi="宋体" w:eastAsia="宋体" w:cs="宋体"/>
                <w:sz w:val="18"/>
                <w:szCs w:val="18"/>
              </w:rPr>
            </w:pPr>
            <w:r>
              <w:rPr>
                <w:rFonts w:hint="eastAsia"/>
                <w:sz w:val="18"/>
                <w:szCs w:val="18"/>
              </w:rPr>
              <w:t>预算数12.75万元。其中：财政资金12.75万元。主要用于对全县参加督导检查的工作人员的补助.</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资金支出计划（累计进度</w:t>
            </w:r>
            <w:r>
              <w:rPr>
                <w:rFonts w:ascii="宋体" w:hAnsi="宋体" w:eastAsia="宋体" w:cs="宋体"/>
                <w:b/>
                <w:bCs/>
                <w:kern w:val="0"/>
                <w:sz w:val="18"/>
                <w:szCs w:val="18"/>
              </w:rPr>
              <w:t>%</w:t>
            </w:r>
            <w:r>
              <w:rPr>
                <w:rFonts w:hint="eastAsia" w:ascii="宋体" w:hAnsi="宋体" w:eastAsia="宋体" w:cs="宋体"/>
                <w:b/>
                <w:bCs/>
                <w:kern w:val="0"/>
                <w:sz w:val="18"/>
                <w:szCs w:val="18"/>
              </w:rPr>
              <w:t>）</w:t>
            </w: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3</w:t>
            </w:r>
            <w:r>
              <w:rPr>
                <w:rFonts w:hint="eastAsia" w:ascii="宋体" w:hAnsi="宋体" w:eastAsia="宋体" w:cs="宋体"/>
                <w:b/>
                <w:bCs/>
                <w:kern w:val="0"/>
                <w:sz w:val="18"/>
                <w:szCs w:val="18"/>
              </w:rPr>
              <w:t>月底</w:t>
            </w:r>
          </w:p>
        </w:tc>
        <w:tc>
          <w:tcPr>
            <w:tcW w:w="290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6</w:t>
            </w:r>
            <w:r>
              <w:rPr>
                <w:rFonts w:hint="eastAsia" w:ascii="宋体" w:hAnsi="宋体" w:eastAsia="宋体" w:cs="宋体"/>
                <w:b/>
                <w:bCs/>
                <w:kern w:val="0"/>
                <w:sz w:val="18"/>
                <w:szCs w:val="18"/>
              </w:rPr>
              <w:t>月底</w:t>
            </w:r>
          </w:p>
        </w:tc>
        <w:tc>
          <w:tcPr>
            <w:tcW w:w="3944"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ascii="宋体" w:hAnsi="宋体" w:eastAsia="宋体" w:cs="宋体"/>
                <w:b/>
                <w:bCs/>
                <w:kern w:val="0"/>
                <w:sz w:val="18"/>
                <w:szCs w:val="18"/>
              </w:rPr>
              <w:t>10</w:t>
            </w:r>
            <w:r>
              <w:rPr>
                <w:rFonts w:hint="eastAsia" w:ascii="宋体" w:hAnsi="宋体" w:eastAsia="宋体" w:cs="宋体"/>
                <w:b/>
                <w:bCs/>
                <w:kern w:val="0"/>
                <w:sz w:val="18"/>
                <w:szCs w:val="18"/>
              </w:rPr>
              <w:t>月底</w:t>
            </w:r>
          </w:p>
        </w:tc>
        <w:tc>
          <w:tcPr>
            <w:tcW w:w="2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　</w:t>
            </w:r>
            <w:r>
              <w:rPr>
                <w:rFonts w:ascii="宋体" w:hAnsi="宋体" w:eastAsia="宋体" w:cs="宋体"/>
                <w:b/>
                <w:bCs/>
                <w:kern w:val="0"/>
                <w:sz w:val="18"/>
                <w:szCs w:val="18"/>
              </w:rPr>
              <w:t>12</w:t>
            </w:r>
            <w:r>
              <w:rPr>
                <w:rFonts w:hint="eastAsia" w:ascii="宋体" w:hAnsi="宋体" w:eastAsia="宋体" w:cs="宋体"/>
                <w:b/>
                <w:bCs/>
                <w:kern w:val="0"/>
                <w:sz w:val="18"/>
                <w:szCs w:val="18"/>
              </w:rPr>
              <w:t>月底</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3946" w:type="dxa"/>
            <w:gridSpan w:val="2"/>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100%</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100%</w:t>
            </w:r>
          </w:p>
        </w:tc>
        <w:tc>
          <w:tcPr>
            <w:tcW w:w="3944" w:type="dxa"/>
            <w:gridSpan w:val="4"/>
            <w:tcBorders>
              <w:top w:val="single" w:color="auto" w:sz="4" w:space="0"/>
              <w:left w:val="nil"/>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100%</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100%　</w:t>
            </w:r>
          </w:p>
        </w:tc>
      </w:tr>
      <w:tr>
        <w:tblPrEx>
          <w:tblCellMar>
            <w:top w:w="0" w:type="dxa"/>
            <w:left w:w="108" w:type="dxa"/>
            <w:bottom w:w="0" w:type="dxa"/>
            <w:right w:w="108" w:type="dxa"/>
          </w:tblCellMar>
        </w:tblPrEx>
        <w:trPr>
          <w:trHeight w:val="455" w:hRule="atLeast"/>
        </w:trPr>
        <w:tc>
          <w:tcPr>
            <w:tcW w:w="1660"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绩效目标</w:t>
            </w: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目标</w:t>
            </w:r>
            <w:r>
              <w:rPr>
                <w:rFonts w:ascii="宋体" w:hAnsi="宋体" w:eastAsia="宋体" w:cs="宋体"/>
                <w:kern w:val="0"/>
                <w:sz w:val="18"/>
                <w:szCs w:val="18"/>
              </w:rPr>
              <w:t>1</w:t>
            </w:r>
          </w:p>
        </w:tc>
        <w:tc>
          <w:tcPr>
            <w:tcW w:w="11540" w:type="dxa"/>
            <w:gridSpan w:val="7"/>
            <w:tcBorders>
              <w:top w:val="single" w:color="auto" w:sz="4" w:space="0"/>
              <w:left w:val="nil"/>
              <w:bottom w:val="single" w:color="auto" w:sz="4" w:space="0"/>
              <w:right w:val="single" w:color="000000" w:sz="4" w:space="0"/>
            </w:tcBorders>
            <w:vAlign w:val="center"/>
          </w:tcPr>
          <w:p>
            <w:pPr>
              <w:jc w:val="left"/>
              <w:rPr>
                <w:rFonts w:ascii="宋体" w:hAnsi="宋体" w:eastAsia="宋体" w:cs="宋体"/>
                <w:sz w:val="18"/>
                <w:szCs w:val="18"/>
              </w:rPr>
            </w:pPr>
            <w:r>
              <w:rPr>
                <w:rFonts w:hint="eastAsia"/>
                <w:sz w:val="18"/>
                <w:szCs w:val="18"/>
              </w:rPr>
              <w:t>对全县各级、各单位、各村街防控工作落实情况开展全覆盖、全天候的监督检查。尽快结束疫情，恢复人民群众正常的工作和生活。</w:t>
            </w:r>
          </w:p>
        </w:tc>
      </w:tr>
      <w:tr>
        <w:tblPrEx>
          <w:tblCellMar>
            <w:top w:w="0" w:type="dxa"/>
            <w:left w:w="108" w:type="dxa"/>
            <w:bottom w:w="0" w:type="dxa"/>
            <w:right w:w="108" w:type="dxa"/>
          </w:tblCellMar>
        </w:tblPrEx>
        <w:trPr>
          <w:trHeight w:val="454"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一级指标</w:t>
            </w:r>
          </w:p>
        </w:tc>
        <w:tc>
          <w:tcPr>
            <w:tcW w:w="154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二级指标</w:t>
            </w:r>
          </w:p>
        </w:tc>
        <w:tc>
          <w:tcPr>
            <w:tcW w:w="2403"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三级指标</w:t>
            </w:r>
          </w:p>
        </w:tc>
        <w:tc>
          <w:tcPr>
            <w:tcW w:w="2906"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绩效指标描述</w:t>
            </w:r>
          </w:p>
        </w:tc>
        <w:tc>
          <w:tcPr>
            <w:tcW w:w="3944" w:type="dxa"/>
            <w:gridSpan w:val="4"/>
            <w:tcBorders>
              <w:top w:val="single" w:color="auto" w:sz="4" w:space="0"/>
              <w:left w:val="single" w:color="auto" w:sz="4" w:space="0"/>
              <w:bottom w:val="single" w:color="auto" w:sz="4" w:space="0"/>
              <w:right w:val="nil"/>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w:t>
            </w:r>
          </w:p>
        </w:tc>
        <w:tc>
          <w:tcPr>
            <w:tcW w:w="2287"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指标值确定依据</w:t>
            </w:r>
          </w:p>
        </w:tc>
      </w:tr>
      <w:tr>
        <w:tblPrEx>
          <w:tblCellMar>
            <w:top w:w="0" w:type="dxa"/>
            <w:left w:w="108" w:type="dxa"/>
            <w:bottom w:w="0" w:type="dxa"/>
            <w:right w:w="108" w:type="dxa"/>
          </w:tblCellMar>
        </w:tblPrEx>
        <w:trPr>
          <w:trHeight w:val="454"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403"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2906"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14"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符号</w:t>
            </w:r>
          </w:p>
        </w:tc>
        <w:tc>
          <w:tcPr>
            <w:tcW w:w="976" w:type="dxa"/>
            <w:gridSpan w:val="2"/>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值</w:t>
            </w:r>
          </w:p>
        </w:tc>
        <w:tc>
          <w:tcPr>
            <w:tcW w:w="1454" w:type="dxa"/>
            <w:tcBorders>
              <w:top w:val="single" w:color="auto" w:sz="4" w:space="0"/>
              <w:left w:val="single" w:color="auto" w:sz="4" w:space="0"/>
              <w:bottom w:val="single" w:color="000000" w:sz="4" w:space="0"/>
              <w:right w:val="nil"/>
            </w:tcBorders>
            <w:vAlign w:val="center"/>
          </w:tcPr>
          <w:p>
            <w:pPr>
              <w:jc w:val="center"/>
              <w:rPr>
                <w:rFonts w:ascii="宋体" w:hAnsi="宋体" w:eastAsia="宋体" w:cs="宋体"/>
                <w:b/>
                <w:bCs/>
                <w:kern w:val="0"/>
                <w:sz w:val="18"/>
                <w:szCs w:val="18"/>
              </w:rPr>
            </w:pPr>
            <w:r>
              <w:rPr>
                <w:rFonts w:hint="eastAsia" w:ascii="宋体" w:hAnsi="宋体" w:eastAsia="宋体" w:cs="宋体"/>
                <w:b/>
                <w:bCs/>
                <w:kern w:val="0"/>
                <w:sz w:val="18"/>
                <w:szCs w:val="18"/>
              </w:rPr>
              <w:t>单位</w:t>
            </w:r>
            <w:r>
              <w:rPr>
                <w:rFonts w:ascii="宋体" w:hAnsi="宋体" w:eastAsia="宋体" w:cs="宋体"/>
                <w:b/>
                <w:bCs/>
                <w:kern w:val="0"/>
                <w:sz w:val="18"/>
                <w:szCs w:val="18"/>
              </w:rPr>
              <w:t xml:space="preserve"> </w:t>
            </w:r>
            <w:r>
              <w:rPr>
                <w:rFonts w:hint="eastAsia" w:ascii="宋体" w:hAnsi="宋体" w:eastAsia="宋体" w:cs="宋体"/>
                <w:b/>
                <w:bCs/>
                <w:kern w:val="0"/>
                <w:sz w:val="18"/>
                <w:szCs w:val="18"/>
              </w:rPr>
              <w:t>（文字描述）</w:t>
            </w:r>
          </w:p>
        </w:tc>
        <w:tc>
          <w:tcPr>
            <w:tcW w:w="2287"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r>
      <w:tr>
        <w:tblPrEx>
          <w:tblCellMar>
            <w:top w:w="0" w:type="dxa"/>
            <w:left w:w="108" w:type="dxa"/>
            <w:bottom w:w="0" w:type="dxa"/>
            <w:right w:w="108" w:type="dxa"/>
          </w:tblCellMar>
        </w:tblPrEx>
        <w:trPr>
          <w:trHeight w:val="351"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产出指标</w:t>
            </w:r>
          </w:p>
        </w:tc>
        <w:tc>
          <w:tcPr>
            <w:tcW w:w="1543" w:type="dxa"/>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发放补助人数</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发放补助人数</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65</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人</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补助发放覆盖率</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补助发放覆盖率</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100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发放及时性</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发放及时性</w:t>
            </w:r>
          </w:p>
        </w:tc>
        <w:tc>
          <w:tcPr>
            <w:tcW w:w="1514" w:type="dxa"/>
            <w:tcBorders>
              <w:top w:val="single" w:color="auto" w:sz="4" w:space="0"/>
              <w:left w:val="nil"/>
              <w:bottom w:val="single" w:color="auto" w:sz="4" w:space="0"/>
              <w:right w:val="single" w:color="auto" w:sz="4" w:space="0"/>
            </w:tcBorders>
            <w:vAlign w:val="center"/>
          </w:tcPr>
          <w:p>
            <w:pPr>
              <w:jc w:val="center"/>
              <w:rPr>
                <w:rFonts w:ascii="宋体" w:hAnsi="宋体" w:eastAsia="宋体" w:cs="宋体"/>
                <w:sz w:val="18"/>
                <w:szCs w:val="18"/>
              </w:rPr>
            </w:pPr>
            <w:r>
              <w:rPr>
                <w:rFonts w:hint="eastAsia" w:ascii="宋体" w:hAnsi="宋体" w:eastAsia="宋体" w:cs="宋体"/>
                <w:kern w:val="0"/>
                <w:sz w:val="18"/>
                <w:szCs w:val="18"/>
              </w:rPr>
              <w:t>文字描述</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按规定及时发放到位</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补助成本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补助成本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sz w:val="18"/>
                <w:szCs w:val="18"/>
              </w:rPr>
              <w:t>＝</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sz w:val="18"/>
                <w:szCs w:val="18"/>
              </w:rPr>
              <w:t>12.75</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349" w:hRule="atLeast"/>
        </w:trPr>
        <w:tc>
          <w:tcPr>
            <w:tcW w:w="1660"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效果指标</w:t>
            </w: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经济效益指标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0</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1282"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社会效益指标</w:t>
            </w:r>
          </w:p>
        </w:tc>
        <w:tc>
          <w:tcPr>
            <w:tcW w:w="240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p>
            <w:pPr>
              <w:jc w:val="center"/>
              <w:rPr>
                <w:rFonts w:ascii="宋体" w:hAnsi="宋体" w:eastAsia="宋体" w:cs="宋体"/>
                <w:sz w:val="18"/>
                <w:szCs w:val="18"/>
              </w:rPr>
            </w:pPr>
            <w:r>
              <w:rPr>
                <w:rFonts w:hint="eastAsia"/>
                <w:sz w:val="18"/>
                <w:szCs w:val="18"/>
              </w:rPr>
              <w:t>加强防控新型冠状病毒感染肺炎的疫情</w:t>
            </w:r>
          </w:p>
        </w:tc>
        <w:tc>
          <w:tcPr>
            <w:tcW w:w="2906" w:type="dxa"/>
            <w:tcBorders>
              <w:top w:val="nil"/>
              <w:left w:val="nil"/>
              <w:bottom w:val="single" w:color="auto" w:sz="4" w:space="0"/>
              <w:right w:val="single" w:color="auto" w:sz="4" w:space="0"/>
            </w:tcBorders>
            <w:vAlign w:val="center"/>
          </w:tcPr>
          <w:p>
            <w:pPr>
              <w:jc w:val="center"/>
              <w:rPr>
                <w:rFonts w:ascii="宋体" w:hAnsi="宋体" w:eastAsia="宋体" w:cs="宋体"/>
                <w:sz w:val="18"/>
                <w:szCs w:val="18"/>
              </w:rPr>
            </w:pPr>
            <w:r>
              <w:rPr>
                <w:rFonts w:hint="eastAsia"/>
                <w:sz w:val="18"/>
                <w:szCs w:val="18"/>
              </w:rPr>
              <w:t>通过65人的监督检查,加强防控新型冠状病毒感染肺炎的疫情,尽快结束疫情,人们恢复正常的工作和生活.</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p>
          <w:p>
            <w:pPr>
              <w:jc w:val="center"/>
              <w:rPr>
                <w:rFonts w:ascii="宋体" w:hAnsi="宋体" w:eastAsia="宋体" w:cs="宋体"/>
                <w:sz w:val="18"/>
                <w:szCs w:val="18"/>
              </w:rPr>
            </w:pPr>
            <w:r>
              <w:rPr>
                <w:rFonts w:hint="eastAsia"/>
                <w:sz w:val="18"/>
                <w:szCs w:val="18"/>
              </w:rPr>
              <w:t>加强疫情的防控</w:t>
            </w: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b/>
                <w:bCs/>
                <w:kern w:val="0"/>
                <w:sz w:val="18"/>
                <w:szCs w:val="18"/>
              </w:rPr>
              <w:t>计划标准</w:t>
            </w:r>
          </w:p>
        </w:tc>
      </w:tr>
      <w:tr>
        <w:tblPrEx>
          <w:tblCellMar>
            <w:top w:w="0" w:type="dxa"/>
            <w:left w:w="108" w:type="dxa"/>
            <w:bottom w:w="0" w:type="dxa"/>
            <w:right w:w="108" w:type="dxa"/>
          </w:tblCellMar>
        </w:tblPrEx>
        <w:trPr>
          <w:trHeight w:val="522"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生态效益指标</w:t>
            </w:r>
          </w:p>
        </w:tc>
        <w:tc>
          <w:tcPr>
            <w:tcW w:w="2403" w:type="dxa"/>
            <w:tcBorders>
              <w:top w:val="nil"/>
              <w:left w:val="nil"/>
              <w:bottom w:val="single" w:color="auto" w:sz="4" w:space="0"/>
              <w:right w:val="single" w:color="auto" w:sz="4" w:space="0"/>
            </w:tcBorders>
            <w:vAlign w:val="center"/>
          </w:tcPr>
          <w:p>
            <w:pPr>
              <w:widowControl/>
              <w:rPr>
                <w:rFonts w:ascii="宋体" w:hAnsi="宋体" w:eastAsia="宋体" w:cs="宋体"/>
                <w:kern w:val="0"/>
                <w:sz w:val="18"/>
                <w:szCs w:val="18"/>
              </w:rPr>
            </w:pPr>
            <w:r>
              <w:rPr>
                <w:rFonts w:hint="eastAsia" w:ascii="宋体" w:hAnsi="宋体" w:eastAsia="宋体" w:cs="宋体"/>
                <w:kern w:val="0"/>
                <w:sz w:val="18"/>
                <w:szCs w:val="18"/>
              </w:rPr>
              <w:t>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458" w:hRule="atLeast"/>
        </w:trPr>
        <w:tc>
          <w:tcPr>
            <w:tcW w:w="1660"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hAnsi="宋体" w:eastAsia="宋体" w:cs="宋体"/>
                <w:b/>
                <w:bCs/>
                <w:kern w:val="0"/>
                <w:sz w:val="18"/>
                <w:szCs w:val="18"/>
              </w:rPr>
            </w:pPr>
          </w:p>
        </w:tc>
        <w:tc>
          <w:tcPr>
            <w:tcW w:w="1543"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2403" w:type="dxa"/>
            <w:tcBorders>
              <w:top w:val="nil"/>
              <w:left w:val="nil"/>
              <w:bottom w:val="single" w:color="auto" w:sz="4" w:space="0"/>
              <w:right w:val="single" w:color="auto" w:sz="4" w:space="0"/>
            </w:tcBorders>
            <w:vAlign w:val="center"/>
          </w:tcPr>
          <w:p>
            <w:pPr>
              <w:widowControl/>
              <w:rPr>
                <w:rFonts w:ascii="宋体" w:hAnsi="宋体" w:eastAsia="宋体" w:cs="宋体"/>
                <w:kern w:val="0"/>
                <w:sz w:val="18"/>
                <w:szCs w:val="18"/>
              </w:rPr>
            </w:pPr>
          </w:p>
          <w:p>
            <w:pPr>
              <w:widowControl/>
              <w:rPr>
                <w:rFonts w:ascii="宋体" w:hAnsi="宋体" w:eastAsia="宋体" w:cs="宋体"/>
                <w:kern w:val="0"/>
                <w:sz w:val="18"/>
                <w:szCs w:val="18"/>
              </w:rPr>
            </w:pPr>
            <w:r>
              <w:rPr>
                <w:rFonts w:hint="eastAsia" w:ascii="宋体" w:hAnsi="宋体" w:eastAsia="宋体" w:cs="宋体"/>
                <w:kern w:val="0"/>
                <w:sz w:val="18"/>
                <w:szCs w:val="18"/>
              </w:rPr>
              <w:t>　</w:t>
            </w:r>
          </w:p>
        </w:tc>
        <w:tc>
          <w:tcPr>
            <w:tcW w:w="2906"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p>
        </w:tc>
        <w:tc>
          <w:tcPr>
            <w:tcW w:w="2287" w:type="dxa"/>
            <w:tcBorders>
              <w:top w:val="nil"/>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p>
        </w:tc>
      </w:tr>
      <w:tr>
        <w:tblPrEx>
          <w:tblCellMar>
            <w:top w:w="0" w:type="dxa"/>
            <w:left w:w="108" w:type="dxa"/>
            <w:bottom w:w="0" w:type="dxa"/>
            <w:right w:w="108" w:type="dxa"/>
          </w:tblCellMar>
        </w:tblPrEx>
        <w:trPr>
          <w:trHeight w:val="683" w:hRule="atLeast"/>
        </w:trPr>
        <w:tc>
          <w:tcPr>
            <w:tcW w:w="16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bCs/>
                <w:kern w:val="0"/>
                <w:sz w:val="18"/>
                <w:szCs w:val="18"/>
              </w:rPr>
            </w:pPr>
            <w:r>
              <w:rPr>
                <w:rFonts w:hint="eastAsia" w:ascii="宋体" w:hAnsi="宋体" w:eastAsia="宋体" w:cs="宋体"/>
                <w:b/>
                <w:bCs/>
                <w:kern w:val="0"/>
                <w:sz w:val="18"/>
                <w:szCs w:val="18"/>
              </w:rPr>
              <w:t>满意度指标</w:t>
            </w:r>
          </w:p>
        </w:tc>
        <w:tc>
          <w:tcPr>
            <w:tcW w:w="154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2403"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被补助人员满意率</w:t>
            </w:r>
          </w:p>
        </w:tc>
        <w:tc>
          <w:tcPr>
            <w:tcW w:w="2906"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反映参加督导检查人员提高工作积极性和满意度</w:t>
            </w:r>
          </w:p>
        </w:tc>
        <w:tc>
          <w:tcPr>
            <w:tcW w:w="1514"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p>
          <w:p>
            <w:pPr>
              <w:jc w:val="center"/>
              <w:rPr>
                <w:rFonts w:ascii="宋体" w:hAnsi="宋体" w:eastAsia="宋体" w:cs="宋体"/>
                <w:sz w:val="18"/>
                <w:szCs w:val="18"/>
              </w:rPr>
            </w:pPr>
            <w:r>
              <w:rPr>
                <w:rFonts w:hint="eastAsia"/>
                <w:sz w:val="18"/>
                <w:szCs w:val="18"/>
              </w:rPr>
              <w:t>≥</w:t>
            </w:r>
          </w:p>
        </w:tc>
        <w:tc>
          <w:tcPr>
            <w:tcW w:w="9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95</w:t>
            </w:r>
          </w:p>
        </w:tc>
        <w:tc>
          <w:tcPr>
            <w:tcW w:w="1454" w:type="dxa"/>
            <w:tcBorders>
              <w:top w:val="single" w:color="auto" w:sz="4" w:space="0"/>
              <w:left w:val="single" w:color="auto" w:sz="4" w:space="0"/>
              <w:bottom w:val="single" w:color="auto" w:sz="4" w:space="0"/>
              <w:right w:val="single" w:color="000000"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2287" w:type="dxa"/>
            <w:tcBorders>
              <w:top w:val="single" w:color="auto" w:sz="4" w:space="0"/>
              <w:left w:val="nil"/>
              <w:bottom w:val="single" w:color="auto" w:sz="4" w:space="0"/>
              <w:right w:val="single" w:color="auto" w:sz="4" w:space="0"/>
            </w:tcBorders>
            <w:vAlign w:val="center"/>
          </w:tcPr>
          <w:p>
            <w:pPr>
              <w:widowControl/>
              <w:jc w:val="center"/>
              <w:rPr>
                <w:rFonts w:ascii="宋体" w:hAnsi="宋体" w:eastAsia="宋体" w:cs="宋体"/>
                <w:kern w:val="0"/>
                <w:sz w:val="18"/>
                <w:szCs w:val="18"/>
              </w:rPr>
            </w:pPr>
            <w:r>
              <w:rPr>
                <w:rFonts w:hint="eastAsia" w:ascii="宋体" w:hAnsi="宋体" w:eastAsia="宋体" w:cs="宋体"/>
                <w:kern w:val="0"/>
                <w:sz w:val="18"/>
                <w:szCs w:val="18"/>
              </w:rPr>
              <w:t>　</w:t>
            </w:r>
            <w:r>
              <w:rPr>
                <w:rFonts w:hint="eastAsia" w:ascii="宋体" w:hAnsi="宋体" w:eastAsia="宋体" w:cs="宋体"/>
                <w:b/>
                <w:bCs/>
                <w:kern w:val="0"/>
                <w:sz w:val="18"/>
                <w:szCs w:val="18"/>
              </w:rPr>
              <w:t>计划标准</w:t>
            </w:r>
          </w:p>
        </w:tc>
      </w:tr>
    </w:tbl>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六、政府采购预算情况</w:t>
      </w:r>
    </w:p>
    <w:p>
      <w:pPr>
        <w:spacing w:line="584" w:lineRule="exact"/>
        <w:ind w:firstLine="640" w:firstLineChars="200"/>
        <w:outlineLvl w:val="0"/>
        <w:rPr>
          <w:rFonts w:ascii="Times New Roman" w:hAnsi="Times New Roman" w:eastAsia="仿宋_GB2312" w:cs="Times New Roman"/>
          <w:color w:val="FF0000"/>
          <w:sz w:val="32"/>
          <w:szCs w:val="24"/>
        </w:rPr>
      </w:pPr>
      <w:bookmarkStart w:id="1" w:name="_Toc471398468"/>
      <w:r>
        <w:rPr>
          <w:rFonts w:ascii="Times New Roman" w:hAnsi="Times New Roman" w:eastAsia="仿宋_GB2312" w:cs="Times New Roman"/>
          <w:sz w:val="32"/>
          <w:szCs w:val="24"/>
        </w:rPr>
        <w:t>202</w:t>
      </w:r>
      <w:r>
        <w:rPr>
          <w:rFonts w:hint="eastAsia" w:ascii="Times New Roman" w:hAnsi="Times New Roman" w:eastAsia="仿宋_GB2312" w:cs="Times New Roman"/>
          <w:sz w:val="32"/>
          <w:szCs w:val="24"/>
        </w:rPr>
        <w:t>1</w:t>
      </w:r>
      <w:r>
        <w:rPr>
          <w:rFonts w:ascii="Times New Roman" w:hAnsi="Times New Roman" w:eastAsia="仿宋_GB2312" w:cs="Times New Roman"/>
          <w:sz w:val="32"/>
          <w:szCs w:val="24"/>
        </w:rPr>
        <w:t>年，我部门安排政府采购预算</w:t>
      </w:r>
      <w:r>
        <w:rPr>
          <w:rFonts w:hint="eastAsia" w:ascii="Times New Roman" w:hAnsi="Times New Roman" w:eastAsia="仿宋_GB2312" w:cs="Times New Roman"/>
          <w:sz w:val="32"/>
          <w:szCs w:val="24"/>
        </w:rPr>
        <w:t>86</w:t>
      </w:r>
      <w:r>
        <w:rPr>
          <w:rFonts w:ascii="Times New Roman" w:hAnsi="Times New Roman" w:eastAsia="仿宋_GB2312" w:cs="Times New Roman"/>
          <w:sz w:val="32"/>
          <w:szCs w:val="24"/>
        </w:rPr>
        <w:t>万元。具体内容见下表。</w:t>
      </w:r>
    </w:p>
    <w:bookmarkEnd w:id="1"/>
    <w:p>
      <w:pPr>
        <w:spacing w:line="584" w:lineRule="exact"/>
        <w:jc w:val="center"/>
        <w:outlineLvl w:val="0"/>
        <w:rPr>
          <w:rFonts w:ascii="Times New Roman" w:hAnsi="Times New Roman" w:eastAsia="仿宋_GB2312" w:cs="Times New Roman"/>
          <w:sz w:val="32"/>
        </w:rPr>
      </w:pPr>
      <w:bookmarkStart w:id="2" w:name="_Toc504489153"/>
      <w:r>
        <w:rPr>
          <w:rFonts w:ascii="Times New Roman" w:hAnsi="Times New Roman" w:eastAsia="仿宋_GB2312" w:cs="Times New Roman"/>
          <w:sz w:val="32"/>
        </w:rPr>
        <w:t>部门政府采购预算</w:t>
      </w:r>
      <w:bookmarkEnd w:id="2"/>
    </w:p>
    <w:tbl>
      <w:tblPr>
        <w:tblStyle w:val="9"/>
        <w:tblW w:w="4851" w:type="pct"/>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autofit"/>
        <w:tblCellMar>
          <w:top w:w="0" w:type="dxa"/>
          <w:left w:w="108" w:type="dxa"/>
          <w:bottom w:w="0" w:type="dxa"/>
          <w:right w:w="108" w:type="dxa"/>
        </w:tblCellMar>
      </w:tblPr>
      <w:tblGrid>
        <w:gridCol w:w="2406"/>
        <w:gridCol w:w="1057"/>
        <w:gridCol w:w="932"/>
        <w:gridCol w:w="1372"/>
        <w:gridCol w:w="720"/>
        <w:gridCol w:w="740"/>
        <w:gridCol w:w="950"/>
        <w:gridCol w:w="956"/>
        <w:gridCol w:w="956"/>
        <w:gridCol w:w="956"/>
        <w:gridCol w:w="790"/>
        <w:gridCol w:w="924"/>
        <w:gridCol w:w="929"/>
        <w:gridCol w:w="88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2806" w:type="pct"/>
            <w:gridSpan w:val="7"/>
            <w:tcBorders>
              <w:top w:val="single" w:color="FFFFFF" w:sz="6" w:space="0"/>
              <w:left w:val="single" w:color="FFFFFF" w:sz="6" w:space="0"/>
              <w:right w:val="single" w:color="FFFFFF" w:sz="6" w:space="0"/>
            </w:tcBorders>
            <w:shd w:val="clear" w:color="auto" w:fill="auto"/>
            <w:vAlign w:val="center"/>
          </w:tcPr>
          <w:p>
            <w:pPr>
              <w:spacing w:line="584" w:lineRule="exact"/>
              <w:jc w:val="left"/>
              <w:rPr>
                <w:rFonts w:ascii="Times New Roman" w:hAnsi="Times New Roman" w:eastAsia="仿宋_GB2312" w:cs="Times New Roman"/>
                <w:sz w:val="24"/>
              </w:rPr>
            </w:pPr>
            <w:r>
              <w:rPr>
                <w:rFonts w:hint="eastAsia" w:ascii="Times New Roman" w:hAnsi="Times New Roman" w:eastAsia="仿宋_GB2312" w:cs="Times New Roman"/>
                <w:kern w:val="0"/>
                <w:sz w:val="22"/>
              </w:rPr>
              <w:t>中国共产党永清县纪律检查委员会</w:t>
            </w:r>
          </w:p>
        </w:tc>
        <w:tc>
          <w:tcPr>
            <w:tcW w:w="2194" w:type="pct"/>
            <w:gridSpan w:val="7"/>
            <w:tcBorders>
              <w:top w:val="single" w:color="FFFFFF" w:sz="6" w:space="0"/>
              <w:left w:val="single" w:color="FFFFFF" w:sz="6" w:space="0"/>
              <w:right w:val="single" w:color="FFFFFF" w:sz="6" w:space="0"/>
            </w:tcBorders>
            <w:shd w:val="clear" w:color="auto" w:fill="auto"/>
            <w:vAlign w:val="center"/>
          </w:tcPr>
          <w:p>
            <w:pPr>
              <w:spacing w:line="584" w:lineRule="exact"/>
              <w:jc w:val="right"/>
              <w:rPr>
                <w:rFonts w:ascii="Times New Roman" w:hAnsi="Times New Roman" w:eastAsia="仿宋_GB2312" w:cs="Times New Roman"/>
                <w:sz w:val="24"/>
              </w:rPr>
            </w:pPr>
            <w:r>
              <w:rPr>
                <w:rFonts w:ascii="Times New Roman" w:hAnsi="Times New Roman" w:eastAsia="仿宋_GB2312" w:cs="Times New Roman"/>
                <w:sz w:val="24"/>
              </w:rP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1189" w:type="pct"/>
            <w:gridSpan w:val="2"/>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政府采购项目来源</w:t>
            </w:r>
          </w:p>
        </w:tc>
        <w:tc>
          <w:tcPr>
            <w:tcW w:w="320"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采购物品名称</w:t>
            </w:r>
          </w:p>
        </w:tc>
        <w:tc>
          <w:tcPr>
            <w:tcW w:w="471"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政府采购目录序号</w:t>
            </w:r>
          </w:p>
        </w:tc>
        <w:tc>
          <w:tcPr>
            <w:tcW w:w="247"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数量单位</w:t>
            </w:r>
          </w:p>
        </w:tc>
        <w:tc>
          <w:tcPr>
            <w:tcW w:w="254"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数量</w:t>
            </w:r>
          </w:p>
        </w:tc>
        <w:tc>
          <w:tcPr>
            <w:tcW w:w="326"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单价</w:t>
            </w:r>
          </w:p>
        </w:tc>
        <w:tc>
          <w:tcPr>
            <w:tcW w:w="2194" w:type="pct"/>
            <w:gridSpan w:val="7"/>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政府采购金额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826"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项目名称</w:t>
            </w:r>
          </w:p>
        </w:tc>
        <w:tc>
          <w:tcPr>
            <w:tcW w:w="363"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预算资金</w:t>
            </w:r>
          </w:p>
        </w:tc>
        <w:tc>
          <w:tcPr>
            <w:tcW w:w="320"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471"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47"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54"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6"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8"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总计</w:t>
            </w:r>
          </w:p>
        </w:tc>
        <w:tc>
          <w:tcPr>
            <w:tcW w:w="1563" w:type="pct"/>
            <w:gridSpan w:val="5"/>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当年部门预算安排资金</w:t>
            </w:r>
          </w:p>
        </w:tc>
        <w:tc>
          <w:tcPr>
            <w:tcW w:w="302" w:type="pct"/>
            <w:vMerge w:val="restar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其他渠道资金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826"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63"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0"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471"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47"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254"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6"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8"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c>
          <w:tcPr>
            <w:tcW w:w="328"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合计</w:t>
            </w:r>
          </w:p>
        </w:tc>
        <w:tc>
          <w:tcPr>
            <w:tcW w:w="328"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一般公共预算拨款</w:t>
            </w:r>
          </w:p>
        </w:tc>
        <w:tc>
          <w:tcPr>
            <w:tcW w:w="271"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基金预算拨款</w:t>
            </w:r>
          </w:p>
        </w:tc>
        <w:tc>
          <w:tcPr>
            <w:tcW w:w="317"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财政专户核拨</w:t>
            </w:r>
          </w:p>
        </w:tc>
        <w:tc>
          <w:tcPr>
            <w:tcW w:w="319"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其他来源收入</w:t>
            </w:r>
          </w:p>
        </w:tc>
        <w:tc>
          <w:tcPr>
            <w:tcW w:w="302" w:type="pct"/>
            <w:vMerge w:val="continue"/>
            <w:shd w:val="clear" w:color="auto" w:fill="auto"/>
            <w:vAlign w:val="center"/>
          </w:tcPr>
          <w:p>
            <w:pPr>
              <w:spacing w:line="584" w:lineRule="exact"/>
              <w:jc w:val="left"/>
              <w:outlineLvl w:val="0"/>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6" w:type="pct"/>
            <w:shd w:val="clear" w:color="auto" w:fill="auto"/>
            <w:vAlign w:val="center"/>
          </w:tcPr>
          <w:p>
            <w:pPr>
              <w:spacing w:line="584" w:lineRule="exact"/>
              <w:jc w:val="center"/>
              <w:rPr>
                <w:rFonts w:ascii="Times New Roman" w:hAnsi="Times New Roman" w:eastAsia="仿宋_GB2312" w:cs="Times New Roman"/>
                <w:b/>
              </w:rPr>
            </w:pPr>
            <w:r>
              <w:rPr>
                <w:rFonts w:ascii="Times New Roman" w:hAnsi="Times New Roman" w:eastAsia="仿宋_GB2312" w:cs="Times New Roman"/>
                <w:b/>
              </w:rPr>
              <w:t>合　计</w:t>
            </w:r>
          </w:p>
        </w:tc>
        <w:tc>
          <w:tcPr>
            <w:tcW w:w="363" w:type="pct"/>
            <w:shd w:val="clear" w:color="auto" w:fill="auto"/>
            <w:vAlign w:val="center"/>
          </w:tcPr>
          <w:p>
            <w:pPr>
              <w:spacing w:line="300" w:lineRule="exact"/>
              <w:jc w:val="center"/>
              <w:rPr>
                <w:rFonts w:ascii="仿宋_GB2312" w:eastAsia="仿宋_GB2312"/>
                <w:b/>
              </w:rPr>
            </w:pPr>
            <w:r>
              <w:rPr>
                <w:rFonts w:hint="eastAsia" w:ascii="仿宋_GB2312" w:eastAsia="仿宋_GB2312"/>
                <w:b/>
              </w:rPr>
              <w:t>86</w:t>
            </w:r>
          </w:p>
        </w:tc>
        <w:tc>
          <w:tcPr>
            <w:tcW w:w="320" w:type="pct"/>
            <w:shd w:val="clear" w:color="auto" w:fill="auto"/>
            <w:vAlign w:val="center"/>
          </w:tcPr>
          <w:p>
            <w:pPr>
              <w:spacing w:line="300" w:lineRule="exact"/>
              <w:jc w:val="center"/>
              <w:rPr>
                <w:rFonts w:ascii="仿宋_GB2312" w:eastAsia="仿宋_GB2312"/>
                <w:b/>
              </w:rPr>
            </w:pPr>
          </w:p>
        </w:tc>
        <w:tc>
          <w:tcPr>
            <w:tcW w:w="471" w:type="pct"/>
            <w:shd w:val="clear" w:color="auto" w:fill="auto"/>
            <w:vAlign w:val="center"/>
          </w:tcPr>
          <w:p>
            <w:pPr>
              <w:spacing w:line="300" w:lineRule="exact"/>
              <w:jc w:val="center"/>
              <w:rPr>
                <w:rFonts w:ascii="仿宋_GB2312" w:eastAsia="仿宋_GB2312"/>
                <w:b/>
              </w:rPr>
            </w:pPr>
          </w:p>
        </w:tc>
        <w:tc>
          <w:tcPr>
            <w:tcW w:w="247" w:type="pct"/>
            <w:shd w:val="clear" w:color="auto" w:fill="auto"/>
            <w:vAlign w:val="center"/>
          </w:tcPr>
          <w:p>
            <w:pPr>
              <w:spacing w:line="300" w:lineRule="exact"/>
              <w:jc w:val="center"/>
              <w:rPr>
                <w:rFonts w:ascii="仿宋_GB2312" w:eastAsia="仿宋_GB2312"/>
                <w:b/>
              </w:rPr>
            </w:pPr>
          </w:p>
        </w:tc>
        <w:tc>
          <w:tcPr>
            <w:tcW w:w="254" w:type="pct"/>
            <w:shd w:val="clear" w:color="auto" w:fill="auto"/>
            <w:vAlign w:val="center"/>
          </w:tcPr>
          <w:p>
            <w:pPr>
              <w:spacing w:line="300" w:lineRule="exact"/>
              <w:jc w:val="center"/>
              <w:rPr>
                <w:rFonts w:ascii="仿宋_GB2312" w:eastAsia="仿宋_GB2312"/>
                <w:b/>
              </w:rPr>
            </w:pPr>
          </w:p>
        </w:tc>
        <w:tc>
          <w:tcPr>
            <w:tcW w:w="326" w:type="pct"/>
            <w:shd w:val="clear" w:color="auto" w:fill="auto"/>
            <w:vAlign w:val="center"/>
          </w:tcPr>
          <w:p>
            <w:pPr>
              <w:spacing w:line="300" w:lineRule="exact"/>
              <w:jc w:val="center"/>
              <w:rPr>
                <w:rFonts w:ascii="仿宋_GB2312" w:eastAsia="仿宋_GB2312"/>
                <w:b/>
              </w:rPr>
            </w:pPr>
          </w:p>
        </w:tc>
        <w:tc>
          <w:tcPr>
            <w:tcW w:w="328" w:type="pct"/>
            <w:shd w:val="clear" w:color="auto" w:fill="auto"/>
            <w:vAlign w:val="center"/>
          </w:tcPr>
          <w:p>
            <w:pPr>
              <w:spacing w:line="300" w:lineRule="exact"/>
              <w:jc w:val="center"/>
              <w:rPr>
                <w:rFonts w:ascii="仿宋_GB2312" w:eastAsia="仿宋_GB2312"/>
                <w:b/>
              </w:rPr>
            </w:pPr>
            <w:r>
              <w:rPr>
                <w:rFonts w:hint="eastAsia" w:ascii="仿宋_GB2312" w:eastAsia="仿宋_GB2312"/>
                <w:b/>
              </w:rPr>
              <w:t>86</w:t>
            </w:r>
          </w:p>
        </w:tc>
        <w:tc>
          <w:tcPr>
            <w:tcW w:w="328" w:type="pct"/>
            <w:shd w:val="clear" w:color="auto" w:fill="auto"/>
            <w:vAlign w:val="center"/>
          </w:tcPr>
          <w:p>
            <w:pPr>
              <w:spacing w:line="300" w:lineRule="exact"/>
              <w:jc w:val="center"/>
              <w:rPr>
                <w:rFonts w:ascii="仿宋_GB2312" w:eastAsia="仿宋_GB2312"/>
                <w:b/>
              </w:rPr>
            </w:pPr>
            <w:r>
              <w:rPr>
                <w:rFonts w:hint="eastAsia" w:ascii="仿宋_GB2312" w:eastAsia="仿宋_GB2312"/>
                <w:b/>
              </w:rPr>
              <w:t>86</w:t>
            </w:r>
          </w:p>
        </w:tc>
        <w:tc>
          <w:tcPr>
            <w:tcW w:w="328" w:type="pct"/>
            <w:shd w:val="clear" w:color="auto" w:fill="auto"/>
            <w:vAlign w:val="center"/>
          </w:tcPr>
          <w:p>
            <w:pPr>
              <w:spacing w:line="300" w:lineRule="exact"/>
              <w:jc w:val="center"/>
              <w:rPr>
                <w:rFonts w:ascii="仿宋_GB2312" w:eastAsia="仿宋_GB2312"/>
                <w:b/>
              </w:rPr>
            </w:pPr>
            <w:r>
              <w:rPr>
                <w:rFonts w:hint="eastAsia" w:ascii="仿宋_GB2312" w:eastAsia="仿宋_GB2312"/>
                <w:b/>
              </w:rPr>
              <w:t>86</w:t>
            </w:r>
          </w:p>
        </w:tc>
        <w:tc>
          <w:tcPr>
            <w:tcW w:w="271" w:type="pct"/>
            <w:shd w:val="clear" w:color="auto" w:fill="auto"/>
            <w:vAlign w:val="center"/>
          </w:tcPr>
          <w:p>
            <w:pPr>
              <w:spacing w:line="584" w:lineRule="exact"/>
              <w:jc w:val="right"/>
              <w:rPr>
                <w:rFonts w:ascii="Times New Roman" w:hAnsi="Times New Roman" w:eastAsia="仿宋_GB2312" w:cs="Times New Roman"/>
                <w:b/>
              </w:rPr>
            </w:pPr>
          </w:p>
        </w:tc>
        <w:tc>
          <w:tcPr>
            <w:tcW w:w="317" w:type="pct"/>
            <w:shd w:val="clear" w:color="auto" w:fill="auto"/>
            <w:vAlign w:val="center"/>
          </w:tcPr>
          <w:p>
            <w:pPr>
              <w:spacing w:line="584" w:lineRule="exact"/>
              <w:jc w:val="right"/>
              <w:rPr>
                <w:rFonts w:ascii="Times New Roman" w:hAnsi="Times New Roman" w:eastAsia="仿宋_GB2312" w:cs="Times New Roman"/>
                <w:b/>
              </w:rPr>
            </w:pPr>
          </w:p>
        </w:tc>
        <w:tc>
          <w:tcPr>
            <w:tcW w:w="319" w:type="pct"/>
            <w:shd w:val="clear" w:color="auto" w:fill="auto"/>
            <w:vAlign w:val="center"/>
          </w:tcPr>
          <w:p>
            <w:pPr>
              <w:spacing w:line="584" w:lineRule="exact"/>
              <w:jc w:val="right"/>
              <w:rPr>
                <w:rFonts w:ascii="Times New Roman" w:hAnsi="Times New Roman" w:eastAsia="仿宋_GB2312" w:cs="Times New Roman"/>
                <w:b/>
              </w:rPr>
            </w:pPr>
          </w:p>
        </w:tc>
        <w:tc>
          <w:tcPr>
            <w:tcW w:w="302" w:type="pct"/>
            <w:shd w:val="clear" w:color="auto" w:fill="auto"/>
            <w:vAlign w:val="center"/>
          </w:tcPr>
          <w:p>
            <w:pPr>
              <w:spacing w:line="584" w:lineRule="exact"/>
              <w:jc w:val="righ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6" w:type="pct"/>
            <w:shd w:val="clear" w:color="auto" w:fill="auto"/>
            <w:vAlign w:val="center"/>
          </w:tcPr>
          <w:p>
            <w:pPr>
              <w:spacing w:line="300" w:lineRule="exact"/>
              <w:jc w:val="center"/>
              <w:rPr>
                <w:rFonts w:ascii="仿宋_GB2312" w:eastAsia="仿宋_GB2312"/>
                <w:b/>
              </w:rPr>
            </w:pPr>
            <w:r>
              <w:rPr>
                <w:rFonts w:hint="eastAsia" w:ascii="仿宋_GB2312" w:eastAsia="仿宋_GB2312"/>
                <w:b/>
              </w:rPr>
              <w:t>纪律审查项目</w:t>
            </w:r>
          </w:p>
        </w:tc>
        <w:tc>
          <w:tcPr>
            <w:tcW w:w="363" w:type="pct"/>
            <w:shd w:val="clear" w:color="auto" w:fill="auto"/>
            <w:vAlign w:val="center"/>
          </w:tcPr>
          <w:p>
            <w:pPr>
              <w:spacing w:line="300" w:lineRule="exact"/>
              <w:jc w:val="center"/>
              <w:rPr>
                <w:rFonts w:ascii="仿宋_GB2312" w:eastAsia="仿宋_GB2312"/>
                <w:b/>
              </w:rPr>
            </w:pPr>
            <w:r>
              <w:rPr>
                <w:rFonts w:hint="eastAsia" w:ascii="仿宋_GB2312" w:eastAsia="仿宋_GB2312"/>
                <w:b/>
              </w:rPr>
              <w:t>36</w:t>
            </w:r>
          </w:p>
        </w:tc>
        <w:tc>
          <w:tcPr>
            <w:tcW w:w="320" w:type="pct"/>
            <w:shd w:val="clear" w:color="auto" w:fill="auto"/>
            <w:vAlign w:val="center"/>
          </w:tcPr>
          <w:p>
            <w:pPr>
              <w:spacing w:line="300" w:lineRule="exact"/>
              <w:jc w:val="center"/>
              <w:rPr>
                <w:rFonts w:ascii="仿宋_GB2312" w:eastAsia="仿宋_GB2312"/>
                <w:b/>
              </w:rPr>
            </w:pPr>
            <w:r>
              <w:rPr>
                <w:rFonts w:hint="eastAsia" w:ascii="仿宋_GB2312" w:eastAsia="仿宋_GB2312"/>
                <w:b/>
              </w:rPr>
              <w:t>安全集成实施服务</w:t>
            </w:r>
          </w:p>
        </w:tc>
        <w:tc>
          <w:tcPr>
            <w:tcW w:w="471" w:type="pct"/>
            <w:shd w:val="clear" w:color="auto" w:fill="auto"/>
            <w:vAlign w:val="center"/>
          </w:tcPr>
          <w:p>
            <w:pPr>
              <w:spacing w:line="300" w:lineRule="exact"/>
              <w:jc w:val="center"/>
              <w:rPr>
                <w:rFonts w:ascii="仿宋_GB2312" w:eastAsia="仿宋_GB2312"/>
                <w:b/>
              </w:rPr>
            </w:pPr>
            <w:r>
              <w:rPr>
                <w:rFonts w:hint="eastAsia" w:ascii="仿宋_GB2312" w:eastAsia="仿宋_GB2312"/>
                <w:b/>
              </w:rPr>
              <w:t>C020204</w:t>
            </w:r>
          </w:p>
        </w:tc>
        <w:tc>
          <w:tcPr>
            <w:tcW w:w="247" w:type="pct"/>
            <w:shd w:val="clear" w:color="auto" w:fill="auto"/>
            <w:vAlign w:val="center"/>
          </w:tcPr>
          <w:p>
            <w:pPr>
              <w:spacing w:line="300" w:lineRule="exact"/>
              <w:jc w:val="center"/>
              <w:rPr>
                <w:rFonts w:ascii="仿宋_GB2312" w:eastAsia="仿宋_GB2312"/>
                <w:b/>
              </w:rPr>
            </w:pPr>
          </w:p>
        </w:tc>
        <w:tc>
          <w:tcPr>
            <w:tcW w:w="254" w:type="pct"/>
            <w:shd w:val="clear" w:color="auto" w:fill="auto"/>
            <w:vAlign w:val="center"/>
          </w:tcPr>
          <w:p>
            <w:pPr>
              <w:spacing w:line="300" w:lineRule="exact"/>
              <w:jc w:val="center"/>
              <w:rPr>
                <w:rFonts w:ascii="仿宋_GB2312" w:eastAsia="仿宋_GB2312"/>
                <w:b/>
              </w:rPr>
            </w:pPr>
          </w:p>
        </w:tc>
        <w:tc>
          <w:tcPr>
            <w:tcW w:w="326" w:type="pct"/>
            <w:shd w:val="clear" w:color="auto" w:fill="auto"/>
            <w:vAlign w:val="center"/>
          </w:tcPr>
          <w:p>
            <w:pPr>
              <w:spacing w:line="300" w:lineRule="exact"/>
              <w:jc w:val="center"/>
              <w:rPr>
                <w:rFonts w:ascii="仿宋_GB2312" w:eastAsia="仿宋_GB2312"/>
                <w:b/>
              </w:rPr>
            </w:pPr>
          </w:p>
        </w:tc>
        <w:tc>
          <w:tcPr>
            <w:tcW w:w="328" w:type="pct"/>
            <w:shd w:val="clear" w:color="auto" w:fill="auto"/>
            <w:vAlign w:val="center"/>
          </w:tcPr>
          <w:p>
            <w:pPr>
              <w:spacing w:line="300" w:lineRule="exact"/>
              <w:jc w:val="center"/>
              <w:rPr>
                <w:rFonts w:ascii="仿宋_GB2312" w:eastAsia="仿宋_GB2312"/>
                <w:b/>
              </w:rPr>
            </w:pPr>
            <w:r>
              <w:rPr>
                <w:rFonts w:hint="eastAsia" w:ascii="仿宋_GB2312" w:eastAsia="仿宋_GB2312"/>
                <w:b/>
              </w:rPr>
              <w:t>36</w:t>
            </w:r>
          </w:p>
        </w:tc>
        <w:tc>
          <w:tcPr>
            <w:tcW w:w="328" w:type="pct"/>
            <w:shd w:val="clear" w:color="auto" w:fill="auto"/>
            <w:vAlign w:val="center"/>
          </w:tcPr>
          <w:p>
            <w:pPr>
              <w:spacing w:line="300" w:lineRule="exact"/>
              <w:jc w:val="center"/>
              <w:rPr>
                <w:rFonts w:ascii="仿宋_GB2312" w:eastAsia="仿宋_GB2312"/>
                <w:b/>
              </w:rPr>
            </w:pPr>
            <w:r>
              <w:rPr>
                <w:rFonts w:hint="eastAsia" w:ascii="仿宋_GB2312" w:eastAsia="仿宋_GB2312"/>
                <w:b/>
              </w:rPr>
              <w:t>36</w:t>
            </w:r>
          </w:p>
        </w:tc>
        <w:tc>
          <w:tcPr>
            <w:tcW w:w="328" w:type="pct"/>
            <w:shd w:val="clear" w:color="auto" w:fill="auto"/>
            <w:vAlign w:val="center"/>
          </w:tcPr>
          <w:p>
            <w:pPr>
              <w:spacing w:line="300" w:lineRule="exact"/>
              <w:jc w:val="center"/>
              <w:rPr>
                <w:rFonts w:ascii="仿宋_GB2312" w:eastAsia="仿宋_GB2312"/>
                <w:b/>
              </w:rPr>
            </w:pPr>
            <w:r>
              <w:rPr>
                <w:rFonts w:hint="eastAsia" w:ascii="仿宋_GB2312" w:eastAsia="仿宋_GB2312"/>
                <w:b/>
              </w:rPr>
              <w:t>36</w:t>
            </w:r>
          </w:p>
        </w:tc>
        <w:tc>
          <w:tcPr>
            <w:tcW w:w="271" w:type="pct"/>
            <w:shd w:val="clear" w:color="auto" w:fill="auto"/>
            <w:vAlign w:val="center"/>
          </w:tcPr>
          <w:p>
            <w:pPr>
              <w:spacing w:line="584" w:lineRule="exact"/>
              <w:jc w:val="right"/>
              <w:rPr>
                <w:rFonts w:ascii="Times New Roman" w:hAnsi="Times New Roman" w:eastAsia="仿宋_GB2312" w:cs="Times New Roman"/>
                <w:b/>
              </w:rPr>
            </w:pPr>
          </w:p>
        </w:tc>
        <w:tc>
          <w:tcPr>
            <w:tcW w:w="317" w:type="pct"/>
            <w:shd w:val="clear" w:color="auto" w:fill="auto"/>
            <w:vAlign w:val="center"/>
          </w:tcPr>
          <w:p>
            <w:pPr>
              <w:spacing w:line="584" w:lineRule="exact"/>
              <w:jc w:val="right"/>
              <w:rPr>
                <w:rFonts w:ascii="Times New Roman" w:hAnsi="Times New Roman" w:eastAsia="仿宋_GB2312" w:cs="Times New Roman"/>
                <w:b/>
              </w:rPr>
            </w:pPr>
          </w:p>
        </w:tc>
        <w:tc>
          <w:tcPr>
            <w:tcW w:w="319" w:type="pct"/>
            <w:shd w:val="clear" w:color="auto" w:fill="auto"/>
            <w:vAlign w:val="center"/>
          </w:tcPr>
          <w:p>
            <w:pPr>
              <w:spacing w:line="584" w:lineRule="exact"/>
              <w:jc w:val="right"/>
              <w:rPr>
                <w:rFonts w:ascii="Times New Roman" w:hAnsi="Times New Roman" w:eastAsia="仿宋_GB2312" w:cs="Times New Roman"/>
                <w:b/>
              </w:rPr>
            </w:pPr>
          </w:p>
        </w:tc>
        <w:tc>
          <w:tcPr>
            <w:tcW w:w="302" w:type="pct"/>
            <w:shd w:val="clear" w:color="auto" w:fill="auto"/>
            <w:vAlign w:val="center"/>
          </w:tcPr>
          <w:p>
            <w:pPr>
              <w:spacing w:line="584" w:lineRule="exact"/>
              <w:jc w:val="right"/>
              <w:rPr>
                <w:rFonts w:ascii="Times New Roman" w:hAnsi="Times New Roman" w:eastAsia="仿宋_GB2312" w:cs="Times New Roman"/>
                <w:b/>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6" w:type="pct"/>
            <w:shd w:val="clear" w:color="auto" w:fill="auto"/>
            <w:vAlign w:val="center"/>
          </w:tcPr>
          <w:p>
            <w:pPr>
              <w:spacing w:line="300" w:lineRule="exact"/>
              <w:jc w:val="center"/>
              <w:rPr>
                <w:rFonts w:ascii="仿宋_GB2312" w:eastAsia="仿宋_GB2312"/>
                <w:b/>
              </w:rPr>
            </w:pPr>
            <w:r>
              <w:rPr>
                <w:rFonts w:hint="eastAsia" w:ascii="仿宋_GB2312" w:eastAsia="仿宋_GB2312"/>
                <w:b/>
              </w:rPr>
              <w:t>纪律审查项目</w:t>
            </w:r>
          </w:p>
        </w:tc>
        <w:tc>
          <w:tcPr>
            <w:tcW w:w="363" w:type="pct"/>
            <w:shd w:val="clear" w:color="auto" w:fill="auto"/>
            <w:vAlign w:val="center"/>
          </w:tcPr>
          <w:p>
            <w:pPr>
              <w:spacing w:line="300" w:lineRule="exact"/>
              <w:jc w:val="center"/>
              <w:rPr>
                <w:rFonts w:ascii="仿宋_GB2312" w:eastAsia="仿宋_GB2312"/>
                <w:b/>
              </w:rPr>
            </w:pPr>
            <w:r>
              <w:rPr>
                <w:rFonts w:hint="eastAsia" w:ascii="仿宋_GB2312" w:eastAsia="仿宋_GB2312"/>
                <w:b/>
              </w:rPr>
              <w:t>50</w:t>
            </w:r>
          </w:p>
        </w:tc>
        <w:tc>
          <w:tcPr>
            <w:tcW w:w="320" w:type="pct"/>
            <w:shd w:val="clear" w:color="auto" w:fill="auto"/>
            <w:vAlign w:val="center"/>
          </w:tcPr>
          <w:p>
            <w:pPr>
              <w:spacing w:line="300" w:lineRule="exact"/>
              <w:jc w:val="center"/>
              <w:rPr>
                <w:rFonts w:ascii="仿宋_GB2312" w:eastAsia="仿宋_GB2312"/>
                <w:b/>
              </w:rPr>
            </w:pPr>
            <w:r>
              <w:rPr>
                <w:rFonts w:hint="eastAsia" w:ascii="仿宋_GB2312" w:eastAsia="仿宋_GB2312"/>
                <w:b/>
              </w:rPr>
              <w:t>安全服务</w:t>
            </w:r>
          </w:p>
        </w:tc>
        <w:tc>
          <w:tcPr>
            <w:tcW w:w="471" w:type="pct"/>
            <w:shd w:val="clear" w:color="auto" w:fill="auto"/>
            <w:vAlign w:val="center"/>
          </w:tcPr>
          <w:p>
            <w:pPr>
              <w:spacing w:line="300" w:lineRule="exact"/>
              <w:jc w:val="center"/>
              <w:rPr>
                <w:rFonts w:ascii="仿宋_GB2312" w:eastAsia="仿宋_GB2312"/>
                <w:b/>
              </w:rPr>
            </w:pPr>
            <w:r>
              <w:rPr>
                <w:rFonts w:hint="eastAsia" w:ascii="仿宋_GB2312" w:eastAsia="仿宋_GB2312"/>
                <w:b/>
              </w:rPr>
              <w:t>C0810</w:t>
            </w:r>
          </w:p>
        </w:tc>
        <w:tc>
          <w:tcPr>
            <w:tcW w:w="247" w:type="pct"/>
            <w:shd w:val="clear" w:color="auto" w:fill="auto"/>
            <w:vAlign w:val="center"/>
          </w:tcPr>
          <w:p>
            <w:pPr>
              <w:spacing w:line="300" w:lineRule="exact"/>
              <w:jc w:val="left"/>
              <w:rPr>
                <w:rFonts w:ascii="仿宋_GB2312" w:eastAsia="仿宋_GB2312"/>
                <w:b/>
              </w:rPr>
            </w:pPr>
          </w:p>
        </w:tc>
        <w:tc>
          <w:tcPr>
            <w:tcW w:w="254" w:type="pct"/>
            <w:shd w:val="clear" w:color="auto" w:fill="auto"/>
            <w:vAlign w:val="center"/>
          </w:tcPr>
          <w:p>
            <w:pPr>
              <w:spacing w:line="300" w:lineRule="exact"/>
              <w:jc w:val="center"/>
              <w:rPr>
                <w:rFonts w:ascii="仿宋_GB2312" w:eastAsia="仿宋_GB2312"/>
                <w:b/>
              </w:rPr>
            </w:pPr>
          </w:p>
        </w:tc>
        <w:tc>
          <w:tcPr>
            <w:tcW w:w="326" w:type="pct"/>
            <w:shd w:val="clear" w:color="auto" w:fill="auto"/>
            <w:vAlign w:val="center"/>
          </w:tcPr>
          <w:p>
            <w:pPr>
              <w:spacing w:line="300" w:lineRule="exact"/>
              <w:jc w:val="center"/>
              <w:rPr>
                <w:rFonts w:ascii="仿宋_GB2312" w:eastAsia="仿宋_GB2312"/>
                <w:b/>
              </w:rPr>
            </w:pPr>
          </w:p>
        </w:tc>
        <w:tc>
          <w:tcPr>
            <w:tcW w:w="328" w:type="pct"/>
            <w:shd w:val="clear" w:color="auto" w:fill="auto"/>
            <w:vAlign w:val="center"/>
          </w:tcPr>
          <w:p>
            <w:pPr>
              <w:spacing w:line="300" w:lineRule="exact"/>
              <w:jc w:val="center"/>
              <w:rPr>
                <w:rFonts w:ascii="仿宋_GB2312" w:eastAsia="仿宋_GB2312"/>
                <w:b/>
              </w:rPr>
            </w:pPr>
            <w:r>
              <w:rPr>
                <w:rFonts w:hint="eastAsia" w:ascii="仿宋_GB2312" w:eastAsia="仿宋_GB2312"/>
                <w:b/>
              </w:rPr>
              <w:t>50</w:t>
            </w:r>
          </w:p>
        </w:tc>
        <w:tc>
          <w:tcPr>
            <w:tcW w:w="328" w:type="pct"/>
            <w:shd w:val="clear" w:color="auto" w:fill="auto"/>
            <w:vAlign w:val="center"/>
          </w:tcPr>
          <w:p>
            <w:pPr>
              <w:spacing w:line="300" w:lineRule="exact"/>
              <w:jc w:val="center"/>
              <w:rPr>
                <w:rFonts w:ascii="仿宋_GB2312" w:eastAsia="仿宋_GB2312"/>
                <w:b/>
              </w:rPr>
            </w:pPr>
            <w:r>
              <w:rPr>
                <w:rFonts w:hint="eastAsia" w:ascii="仿宋_GB2312" w:eastAsia="仿宋_GB2312"/>
                <w:b/>
              </w:rPr>
              <w:t>50</w:t>
            </w:r>
          </w:p>
        </w:tc>
        <w:tc>
          <w:tcPr>
            <w:tcW w:w="328" w:type="pct"/>
            <w:shd w:val="clear" w:color="auto" w:fill="auto"/>
            <w:vAlign w:val="center"/>
          </w:tcPr>
          <w:p>
            <w:pPr>
              <w:spacing w:line="300" w:lineRule="exact"/>
              <w:jc w:val="center"/>
              <w:rPr>
                <w:rFonts w:ascii="仿宋_GB2312" w:eastAsia="仿宋_GB2312"/>
                <w:b/>
              </w:rPr>
            </w:pPr>
            <w:r>
              <w:rPr>
                <w:rFonts w:hint="eastAsia" w:ascii="仿宋_GB2312" w:eastAsia="仿宋_GB2312"/>
                <w:b/>
              </w:rPr>
              <w:t>50</w:t>
            </w:r>
          </w:p>
        </w:tc>
        <w:tc>
          <w:tcPr>
            <w:tcW w:w="271" w:type="pct"/>
            <w:shd w:val="clear" w:color="auto" w:fill="auto"/>
            <w:vAlign w:val="center"/>
          </w:tcPr>
          <w:p>
            <w:pPr>
              <w:spacing w:line="300" w:lineRule="exact"/>
              <w:jc w:val="center"/>
              <w:rPr>
                <w:rFonts w:ascii="仿宋_GB2312" w:eastAsia="仿宋_GB2312"/>
                <w:b/>
              </w:rPr>
            </w:pPr>
          </w:p>
        </w:tc>
        <w:tc>
          <w:tcPr>
            <w:tcW w:w="317" w:type="pct"/>
            <w:shd w:val="clear" w:color="auto" w:fill="auto"/>
            <w:vAlign w:val="center"/>
          </w:tcPr>
          <w:p>
            <w:pPr>
              <w:spacing w:line="584" w:lineRule="exact"/>
              <w:jc w:val="center"/>
              <w:rPr>
                <w:rFonts w:ascii="Times New Roman" w:hAnsi="Times New Roman" w:eastAsia="仿宋_GB2312" w:cs="Times New Roman"/>
              </w:rPr>
            </w:pPr>
          </w:p>
        </w:tc>
        <w:tc>
          <w:tcPr>
            <w:tcW w:w="319" w:type="pct"/>
            <w:shd w:val="clear" w:color="auto" w:fill="auto"/>
            <w:vAlign w:val="center"/>
          </w:tcPr>
          <w:p>
            <w:pPr>
              <w:spacing w:line="584" w:lineRule="exact"/>
              <w:jc w:val="center"/>
              <w:rPr>
                <w:rFonts w:ascii="Times New Roman" w:hAnsi="Times New Roman" w:eastAsia="仿宋_GB2312" w:cs="Times New Roman"/>
              </w:rPr>
            </w:pPr>
          </w:p>
        </w:tc>
        <w:tc>
          <w:tcPr>
            <w:tcW w:w="302" w:type="pct"/>
            <w:shd w:val="clear" w:color="auto" w:fill="auto"/>
            <w:vAlign w:val="center"/>
          </w:tcPr>
          <w:p>
            <w:pPr>
              <w:spacing w:line="584" w:lineRule="exact"/>
              <w:jc w:val="right"/>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6" w:type="pct"/>
            <w:shd w:val="clear" w:color="auto" w:fill="auto"/>
            <w:vAlign w:val="center"/>
          </w:tcPr>
          <w:p>
            <w:pPr>
              <w:spacing w:line="584" w:lineRule="exact"/>
              <w:jc w:val="left"/>
              <w:rPr>
                <w:rFonts w:ascii="Times New Roman" w:hAnsi="Times New Roman" w:eastAsia="仿宋_GB2312" w:cs="Times New Roman"/>
              </w:rPr>
            </w:pPr>
          </w:p>
        </w:tc>
        <w:tc>
          <w:tcPr>
            <w:tcW w:w="363" w:type="pct"/>
            <w:shd w:val="clear" w:color="auto" w:fill="auto"/>
            <w:vAlign w:val="center"/>
          </w:tcPr>
          <w:p>
            <w:pPr>
              <w:spacing w:line="584" w:lineRule="exact"/>
              <w:jc w:val="right"/>
              <w:rPr>
                <w:rFonts w:ascii="Times New Roman" w:hAnsi="Times New Roman" w:eastAsia="仿宋_GB2312" w:cs="Times New Roman"/>
              </w:rPr>
            </w:pPr>
          </w:p>
        </w:tc>
        <w:tc>
          <w:tcPr>
            <w:tcW w:w="320" w:type="pct"/>
            <w:shd w:val="clear" w:color="auto" w:fill="auto"/>
            <w:vAlign w:val="center"/>
          </w:tcPr>
          <w:p>
            <w:pPr>
              <w:spacing w:line="584" w:lineRule="exact"/>
              <w:jc w:val="left"/>
              <w:rPr>
                <w:rFonts w:ascii="Times New Roman" w:hAnsi="Times New Roman" w:eastAsia="仿宋_GB2312" w:cs="Times New Roman"/>
              </w:rPr>
            </w:pPr>
          </w:p>
        </w:tc>
        <w:tc>
          <w:tcPr>
            <w:tcW w:w="471" w:type="pct"/>
            <w:shd w:val="clear" w:color="auto" w:fill="auto"/>
            <w:vAlign w:val="center"/>
          </w:tcPr>
          <w:p>
            <w:pPr>
              <w:spacing w:line="584" w:lineRule="exact"/>
              <w:jc w:val="left"/>
              <w:rPr>
                <w:rFonts w:ascii="Times New Roman" w:hAnsi="Times New Roman" w:eastAsia="仿宋_GB2312" w:cs="Times New Roman"/>
              </w:rPr>
            </w:pPr>
          </w:p>
        </w:tc>
        <w:tc>
          <w:tcPr>
            <w:tcW w:w="247" w:type="pct"/>
            <w:shd w:val="clear" w:color="auto" w:fill="auto"/>
            <w:vAlign w:val="center"/>
          </w:tcPr>
          <w:p>
            <w:pPr>
              <w:spacing w:line="584" w:lineRule="exact"/>
              <w:jc w:val="left"/>
              <w:rPr>
                <w:rFonts w:ascii="Times New Roman" w:hAnsi="Times New Roman" w:eastAsia="仿宋_GB2312" w:cs="Times New Roman"/>
              </w:rPr>
            </w:pPr>
          </w:p>
        </w:tc>
        <w:tc>
          <w:tcPr>
            <w:tcW w:w="254" w:type="pct"/>
            <w:shd w:val="clear" w:color="auto" w:fill="auto"/>
            <w:vAlign w:val="center"/>
          </w:tcPr>
          <w:p>
            <w:pPr>
              <w:spacing w:line="584" w:lineRule="exact"/>
              <w:jc w:val="right"/>
              <w:rPr>
                <w:rFonts w:ascii="Times New Roman" w:hAnsi="Times New Roman" w:eastAsia="仿宋_GB2312" w:cs="Times New Roman"/>
              </w:rPr>
            </w:pPr>
          </w:p>
        </w:tc>
        <w:tc>
          <w:tcPr>
            <w:tcW w:w="326"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271" w:type="pct"/>
            <w:shd w:val="clear" w:color="auto" w:fill="auto"/>
            <w:vAlign w:val="center"/>
          </w:tcPr>
          <w:p>
            <w:pPr>
              <w:spacing w:line="584" w:lineRule="exact"/>
              <w:jc w:val="right"/>
              <w:rPr>
                <w:rFonts w:ascii="Times New Roman" w:hAnsi="Times New Roman" w:eastAsia="仿宋_GB2312" w:cs="Times New Roman"/>
              </w:rPr>
            </w:pPr>
          </w:p>
        </w:tc>
        <w:tc>
          <w:tcPr>
            <w:tcW w:w="317" w:type="pct"/>
            <w:shd w:val="clear" w:color="auto" w:fill="auto"/>
            <w:vAlign w:val="center"/>
          </w:tcPr>
          <w:p>
            <w:pPr>
              <w:spacing w:line="584" w:lineRule="exact"/>
              <w:jc w:val="right"/>
              <w:rPr>
                <w:rFonts w:ascii="Times New Roman" w:hAnsi="Times New Roman" w:eastAsia="仿宋_GB2312" w:cs="Times New Roman"/>
              </w:rPr>
            </w:pPr>
          </w:p>
        </w:tc>
        <w:tc>
          <w:tcPr>
            <w:tcW w:w="319" w:type="pct"/>
            <w:shd w:val="clear" w:color="auto" w:fill="auto"/>
            <w:vAlign w:val="center"/>
          </w:tcPr>
          <w:p>
            <w:pPr>
              <w:spacing w:line="584" w:lineRule="exact"/>
              <w:jc w:val="right"/>
              <w:rPr>
                <w:rFonts w:ascii="Times New Roman" w:hAnsi="Times New Roman" w:eastAsia="仿宋_GB2312" w:cs="Times New Roman"/>
              </w:rPr>
            </w:pPr>
          </w:p>
        </w:tc>
        <w:tc>
          <w:tcPr>
            <w:tcW w:w="302" w:type="pct"/>
            <w:shd w:val="clear" w:color="auto" w:fill="auto"/>
            <w:vAlign w:val="center"/>
          </w:tcPr>
          <w:p>
            <w:pPr>
              <w:spacing w:line="584" w:lineRule="exact"/>
              <w:jc w:val="right"/>
              <w:rPr>
                <w:rFonts w:ascii="Times New Roman" w:hAnsi="Times New Roman" w:eastAsia="仿宋_GB2312" w:cs="Times New Roman"/>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826" w:type="pct"/>
            <w:shd w:val="clear" w:color="auto" w:fill="auto"/>
            <w:vAlign w:val="center"/>
          </w:tcPr>
          <w:p>
            <w:pPr>
              <w:spacing w:line="584" w:lineRule="exact"/>
              <w:jc w:val="left"/>
              <w:rPr>
                <w:rFonts w:ascii="Times New Roman" w:hAnsi="Times New Roman" w:eastAsia="仿宋_GB2312" w:cs="Times New Roman"/>
              </w:rPr>
            </w:pPr>
          </w:p>
        </w:tc>
        <w:tc>
          <w:tcPr>
            <w:tcW w:w="363" w:type="pct"/>
            <w:shd w:val="clear" w:color="auto" w:fill="auto"/>
            <w:vAlign w:val="center"/>
          </w:tcPr>
          <w:p>
            <w:pPr>
              <w:spacing w:line="584" w:lineRule="exact"/>
              <w:jc w:val="right"/>
              <w:rPr>
                <w:rFonts w:ascii="Times New Roman" w:hAnsi="Times New Roman" w:eastAsia="仿宋_GB2312" w:cs="Times New Roman"/>
              </w:rPr>
            </w:pPr>
          </w:p>
        </w:tc>
        <w:tc>
          <w:tcPr>
            <w:tcW w:w="320" w:type="pct"/>
            <w:shd w:val="clear" w:color="auto" w:fill="auto"/>
            <w:vAlign w:val="center"/>
          </w:tcPr>
          <w:p>
            <w:pPr>
              <w:spacing w:line="584" w:lineRule="exact"/>
              <w:jc w:val="left"/>
              <w:rPr>
                <w:rFonts w:ascii="Times New Roman" w:hAnsi="Times New Roman" w:eastAsia="仿宋_GB2312" w:cs="Times New Roman"/>
              </w:rPr>
            </w:pPr>
          </w:p>
        </w:tc>
        <w:tc>
          <w:tcPr>
            <w:tcW w:w="471" w:type="pct"/>
            <w:shd w:val="clear" w:color="auto" w:fill="auto"/>
            <w:vAlign w:val="center"/>
          </w:tcPr>
          <w:p>
            <w:pPr>
              <w:spacing w:line="584" w:lineRule="exact"/>
              <w:jc w:val="left"/>
              <w:rPr>
                <w:rFonts w:ascii="Times New Roman" w:hAnsi="Times New Roman" w:eastAsia="仿宋_GB2312" w:cs="Times New Roman"/>
              </w:rPr>
            </w:pPr>
          </w:p>
        </w:tc>
        <w:tc>
          <w:tcPr>
            <w:tcW w:w="247" w:type="pct"/>
            <w:shd w:val="clear" w:color="auto" w:fill="auto"/>
            <w:vAlign w:val="center"/>
          </w:tcPr>
          <w:p>
            <w:pPr>
              <w:spacing w:line="584" w:lineRule="exact"/>
              <w:jc w:val="left"/>
              <w:rPr>
                <w:rFonts w:ascii="Times New Roman" w:hAnsi="Times New Roman" w:eastAsia="仿宋_GB2312" w:cs="Times New Roman"/>
              </w:rPr>
            </w:pPr>
          </w:p>
        </w:tc>
        <w:tc>
          <w:tcPr>
            <w:tcW w:w="254" w:type="pct"/>
            <w:shd w:val="clear" w:color="auto" w:fill="auto"/>
            <w:vAlign w:val="center"/>
          </w:tcPr>
          <w:p>
            <w:pPr>
              <w:spacing w:line="584" w:lineRule="exact"/>
              <w:jc w:val="right"/>
              <w:rPr>
                <w:rFonts w:ascii="Times New Roman" w:hAnsi="Times New Roman" w:eastAsia="仿宋_GB2312" w:cs="Times New Roman"/>
              </w:rPr>
            </w:pPr>
          </w:p>
        </w:tc>
        <w:tc>
          <w:tcPr>
            <w:tcW w:w="326"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328" w:type="pct"/>
            <w:shd w:val="clear" w:color="auto" w:fill="auto"/>
            <w:vAlign w:val="center"/>
          </w:tcPr>
          <w:p>
            <w:pPr>
              <w:spacing w:line="584" w:lineRule="exact"/>
              <w:jc w:val="right"/>
              <w:rPr>
                <w:rFonts w:ascii="Times New Roman" w:hAnsi="Times New Roman" w:eastAsia="仿宋_GB2312" w:cs="Times New Roman"/>
              </w:rPr>
            </w:pPr>
          </w:p>
        </w:tc>
        <w:tc>
          <w:tcPr>
            <w:tcW w:w="271" w:type="pct"/>
            <w:shd w:val="clear" w:color="auto" w:fill="auto"/>
            <w:vAlign w:val="center"/>
          </w:tcPr>
          <w:p>
            <w:pPr>
              <w:spacing w:line="584" w:lineRule="exact"/>
              <w:jc w:val="right"/>
              <w:rPr>
                <w:rFonts w:ascii="Times New Roman" w:hAnsi="Times New Roman" w:eastAsia="仿宋_GB2312" w:cs="Times New Roman"/>
              </w:rPr>
            </w:pPr>
          </w:p>
        </w:tc>
        <w:tc>
          <w:tcPr>
            <w:tcW w:w="317" w:type="pct"/>
            <w:shd w:val="clear" w:color="auto" w:fill="auto"/>
            <w:vAlign w:val="center"/>
          </w:tcPr>
          <w:p>
            <w:pPr>
              <w:spacing w:line="584" w:lineRule="exact"/>
              <w:jc w:val="right"/>
              <w:rPr>
                <w:rFonts w:ascii="Times New Roman" w:hAnsi="Times New Roman" w:eastAsia="仿宋_GB2312" w:cs="Times New Roman"/>
              </w:rPr>
            </w:pPr>
          </w:p>
        </w:tc>
        <w:tc>
          <w:tcPr>
            <w:tcW w:w="319" w:type="pct"/>
            <w:shd w:val="clear" w:color="auto" w:fill="auto"/>
            <w:vAlign w:val="center"/>
          </w:tcPr>
          <w:p>
            <w:pPr>
              <w:spacing w:line="584" w:lineRule="exact"/>
              <w:jc w:val="right"/>
              <w:rPr>
                <w:rFonts w:ascii="Times New Roman" w:hAnsi="Times New Roman" w:eastAsia="仿宋_GB2312" w:cs="Times New Roman"/>
              </w:rPr>
            </w:pPr>
          </w:p>
        </w:tc>
        <w:tc>
          <w:tcPr>
            <w:tcW w:w="302" w:type="pct"/>
            <w:shd w:val="clear" w:color="auto" w:fill="auto"/>
            <w:vAlign w:val="center"/>
          </w:tcPr>
          <w:p>
            <w:pPr>
              <w:spacing w:line="584" w:lineRule="exact"/>
              <w:jc w:val="right"/>
              <w:rPr>
                <w:rFonts w:ascii="Times New Roman" w:hAnsi="Times New Roman" w:eastAsia="仿宋_GB2312" w:cs="Times New Roman"/>
              </w:rPr>
            </w:pPr>
          </w:p>
        </w:tc>
      </w:tr>
    </w:tbl>
    <w:p>
      <w:pPr>
        <w:spacing w:line="584" w:lineRule="exact"/>
        <w:jc w:val="left"/>
        <w:outlineLvl w:val="0"/>
        <w:rPr>
          <w:rFonts w:ascii="Times New Roman" w:hAnsi="Times New Roman" w:eastAsia="仿宋_GB2312" w:cs="Times New Roman"/>
        </w:rPr>
        <w:sectPr>
          <w:pgSz w:w="16839" w:h="11907" w:orient="landscape"/>
          <w:pgMar w:top="1361" w:right="1020" w:bottom="1361" w:left="1020" w:header="851" w:footer="992" w:gutter="0"/>
          <w:cols w:space="425" w:num="1"/>
          <w:docGrid w:type="lines" w:linePitch="312" w:charSpace="0"/>
        </w:sect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七、国有资产信息</w:t>
      </w:r>
    </w:p>
    <w:p>
      <w:pPr>
        <w:ind w:firstLine="640"/>
        <w:rPr>
          <w:rFonts w:ascii="仿宋_GB2312" w:hAnsi="黑体" w:eastAsia="仿宋_GB2312"/>
          <w:sz w:val="32"/>
          <w:szCs w:val="32"/>
        </w:rPr>
      </w:pPr>
      <w:r>
        <w:rPr>
          <w:rFonts w:hint="eastAsia" w:ascii="仿宋_GB2312" w:hAnsi="黑体" w:eastAsia="仿宋_GB2312"/>
          <w:sz w:val="32"/>
          <w:szCs w:val="32"/>
        </w:rPr>
        <w:t>中国共产党永清县纪律检查委员会（含所属单位）上年末固定资产金额为</w:t>
      </w:r>
      <w:r>
        <w:rPr>
          <w:rFonts w:hint="eastAsia" w:ascii="仿宋" w:hAnsi="仿宋" w:eastAsia="仿宋" w:cs="仿宋"/>
          <w:color w:val="484747"/>
          <w:sz w:val="32"/>
          <w:szCs w:val="32"/>
        </w:rPr>
        <w:t>325.07</w:t>
      </w:r>
      <w:r>
        <w:rPr>
          <w:rFonts w:hint="eastAsia" w:ascii="仿宋_GB2312" w:hAnsi="黑体" w:eastAsia="仿宋_GB2312"/>
          <w:sz w:val="32"/>
          <w:szCs w:val="32"/>
        </w:rPr>
        <w:t>万元，本年度我部门拟购置固定资产共计12万元，主要为计算机设备、打印设备、办公设备等，已列入政府采购预算，祥见政府采购预算表。</w:t>
      </w:r>
    </w:p>
    <w:tbl>
      <w:tblPr>
        <w:tblStyle w:val="9"/>
        <w:tblW w:w="13482" w:type="dxa"/>
        <w:tblInd w:w="93" w:type="dxa"/>
        <w:tblLayout w:type="autofit"/>
        <w:tblCellMar>
          <w:top w:w="0" w:type="dxa"/>
          <w:left w:w="108" w:type="dxa"/>
          <w:bottom w:w="0" w:type="dxa"/>
          <w:right w:w="108" w:type="dxa"/>
        </w:tblCellMar>
      </w:tblPr>
      <w:tblGrid>
        <w:gridCol w:w="5224"/>
        <w:gridCol w:w="3155"/>
        <w:gridCol w:w="5103"/>
      </w:tblGrid>
      <w:tr>
        <w:tblPrEx>
          <w:tblCellMar>
            <w:top w:w="0" w:type="dxa"/>
            <w:left w:w="108" w:type="dxa"/>
            <w:bottom w:w="0" w:type="dxa"/>
            <w:right w:w="108" w:type="dxa"/>
          </w:tblCellMar>
        </w:tblPrEx>
        <w:trPr>
          <w:trHeight w:val="705" w:hRule="atLeast"/>
        </w:trPr>
        <w:tc>
          <w:tcPr>
            <w:tcW w:w="13482" w:type="dxa"/>
            <w:gridSpan w:val="3"/>
            <w:tcBorders>
              <w:top w:val="nil"/>
              <w:left w:val="nil"/>
              <w:bottom w:val="nil"/>
              <w:right w:val="nil"/>
            </w:tcBorders>
            <w:shd w:val="clear" w:color="auto" w:fill="auto"/>
            <w:noWrap/>
            <w:vAlign w:val="center"/>
          </w:tcPr>
          <w:p>
            <w:pPr>
              <w:widowControl/>
              <w:spacing w:line="584" w:lineRule="exact"/>
              <w:jc w:val="center"/>
              <w:rPr>
                <w:rFonts w:ascii="Times New Roman" w:hAnsi="Times New Roman" w:eastAsia="仿宋_GB2312" w:cs="Times New Roman"/>
                <w:b/>
                <w:bCs/>
                <w:kern w:val="0"/>
                <w:sz w:val="32"/>
                <w:szCs w:val="32"/>
              </w:rPr>
            </w:pPr>
            <w:r>
              <w:rPr>
                <w:rFonts w:ascii="Times New Roman" w:hAnsi="Times New Roman" w:eastAsia="仿宋_GB2312" w:cs="Times New Roman"/>
                <w:b/>
                <w:bCs/>
                <w:kern w:val="0"/>
                <w:sz w:val="32"/>
                <w:szCs w:val="32"/>
              </w:rPr>
              <w:t>永清县</w:t>
            </w:r>
            <w:r>
              <w:rPr>
                <w:rFonts w:hint="eastAsia" w:ascii="Times New Roman" w:hAnsi="Times New Roman" w:eastAsia="仿宋_GB2312" w:cs="Times New Roman"/>
                <w:b/>
                <w:bCs/>
                <w:kern w:val="0"/>
                <w:sz w:val="32"/>
                <w:szCs w:val="32"/>
              </w:rPr>
              <w:t>县</w:t>
            </w:r>
            <w:r>
              <w:rPr>
                <w:rFonts w:ascii="Times New Roman" w:hAnsi="Times New Roman" w:eastAsia="仿宋_GB2312" w:cs="Times New Roman"/>
                <w:b/>
                <w:bCs/>
                <w:kern w:val="0"/>
                <w:sz w:val="32"/>
                <w:szCs w:val="32"/>
              </w:rPr>
              <w:t>直部门固定资产占用情况表</w:t>
            </w:r>
          </w:p>
        </w:tc>
      </w:tr>
      <w:tr>
        <w:tblPrEx>
          <w:tblCellMar>
            <w:top w:w="0" w:type="dxa"/>
            <w:left w:w="108" w:type="dxa"/>
            <w:bottom w:w="0" w:type="dxa"/>
            <w:right w:w="108" w:type="dxa"/>
          </w:tblCellMar>
        </w:tblPrEx>
        <w:trPr>
          <w:trHeight w:val="510" w:hRule="atLeast"/>
        </w:trPr>
        <w:tc>
          <w:tcPr>
            <w:tcW w:w="8379" w:type="dxa"/>
            <w:gridSpan w:val="2"/>
            <w:tcBorders>
              <w:top w:val="nil"/>
              <w:left w:val="nil"/>
              <w:bottom w:val="nil"/>
              <w:right w:val="nil"/>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编制部门</w:t>
            </w:r>
            <w:r>
              <w:rPr>
                <w:rFonts w:hint="eastAsia" w:ascii="Times New Roman" w:hAnsi="Times New Roman" w:eastAsia="仿宋_GB2312" w:cs="Times New Roman"/>
                <w:kern w:val="0"/>
                <w:sz w:val="22"/>
              </w:rPr>
              <w:t>：中国共产党永清县纪律检查委员会</w:t>
            </w:r>
          </w:p>
        </w:tc>
        <w:tc>
          <w:tcPr>
            <w:tcW w:w="5103" w:type="dxa"/>
            <w:tcBorders>
              <w:top w:val="nil"/>
              <w:left w:val="nil"/>
              <w:bottom w:val="nil"/>
              <w:right w:val="nil"/>
            </w:tcBorders>
            <w:shd w:val="clear" w:color="auto" w:fill="auto"/>
            <w:noWrap/>
            <w:vAlign w:val="center"/>
          </w:tcPr>
          <w:p>
            <w:pPr>
              <w:widowControl/>
              <w:spacing w:line="584" w:lineRule="exact"/>
              <w:jc w:val="right"/>
              <w:rPr>
                <w:rFonts w:ascii="Times New Roman" w:hAnsi="Times New Roman" w:eastAsia="仿宋_GB2312" w:cs="Times New Roman"/>
                <w:kern w:val="0"/>
                <w:sz w:val="22"/>
              </w:rPr>
            </w:pPr>
            <w:r>
              <w:rPr>
                <w:rFonts w:ascii="Times New Roman" w:hAnsi="Times New Roman" w:eastAsia="仿宋_GB2312" w:cs="Times New Roman"/>
                <w:kern w:val="0"/>
                <w:sz w:val="22"/>
              </w:rPr>
              <w:t>截止时间：20</w:t>
            </w:r>
            <w:r>
              <w:rPr>
                <w:rFonts w:hint="eastAsia" w:ascii="Times New Roman" w:hAnsi="Times New Roman" w:eastAsia="仿宋_GB2312" w:cs="Times New Roman"/>
                <w:kern w:val="0"/>
                <w:sz w:val="22"/>
              </w:rPr>
              <w:t>20</w:t>
            </w:r>
            <w:r>
              <w:rPr>
                <w:rFonts w:ascii="Times New Roman" w:hAnsi="Times New Roman" w:eastAsia="仿宋_GB2312" w:cs="Times New Roman"/>
                <w:kern w:val="0"/>
                <w:sz w:val="22"/>
              </w:rPr>
              <w:t>年12月31日</w:t>
            </w:r>
          </w:p>
        </w:tc>
      </w:tr>
      <w:tr>
        <w:tblPrEx>
          <w:tblCellMar>
            <w:top w:w="0" w:type="dxa"/>
            <w:left w:w="108" w:type="dxa"/>
            <w:bottom w:w="0" w:type="dxa"/>
            <w:right w:w="108" w:type="dxa"/>
          </w:tblCellMar>
        </w:tblPrEx>
        <w:trPr>
          <w:trHeight w:val="567" w:hRule="exact"/>
        </w:trPr>
        <w:tc>
          <w:tcPr>
            <w:tcW w:w="5224"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项目</w:t>
            </w:r>
          </w:p>
        </w:tc>
        <w:tc>
          <w:tcPr>
            <w:tcW w:w="3155"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数量</w:t>
            </w:r>
          </w:p>
        </w:tc>
        <w:tc>
          <w:tcPr>
            <w:tcW w:w="5103" w:type="dxa"/>
            <w:tcBorders>
              <w:top w:val="single" w:color="auto" w:sz="4" w:space="0"/>
              <w:left w:val="nil"/>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b/>
                <w:bCs/>
                <w:kern w:val="0"/>
                <w:sz w:val="22"/>
              </w:rPr>
            </w:pPr>
            <w:r>
              <w:rPr>
                <w:rFonts w:ascii="Times New Roman" w:hAnsi="Times New Roman" w:eastAsia="仿宋_GB2312" w:cs="Times New Roman"/>
                <w:b/>
                <w:bCs/>
                <w:kern w:val="0"/>
                <w:sz w:val="22"/>
              </w:rPr>
              <w:t>价值（金额单位：万元）</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center"/>
              <w:rPr>
                <w:rFonts w:ascii="Times New Roman" w:hAnsi="Times New Roman" w:eastAsia="仿宋_GB2312" w:cs="Times New Roman"/>
                <w:kern w:val="0"/>
                <w:sz w:val="22"/>
              </w:rPr>
            </w:pPr>
            <w:r>
              <w:rPr>
                <w:rFonts w:ascii="Times New Roman" w:hAnsi="Times New Roman" w:eastAsia="仿宋_GB2312" w:cs="Times New Roman"/>
                <w:kern w:val="0"/>
                <w:sz w:val="22"/>
              </w:rPr>
              <w:t>资产总额</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ascii="Times New Roman" w:hAnsi="Times New Roman" w:eastAsia="仿宋_GB2312" w:cs="Times New Roman"/>
                <w:sz w:val="22"/>
              </w:rPr>
              <w:t>——</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325.07</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1、房屋（平方米）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其中：办公用房（平方米）</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2、车辆（台、辆）</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10</w:t>
            </w: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宋体" w:cs="宋体"/>
                <w:kern w:val="0"/>
                <w:sz w:val="22"/>
              </w:rPr>
              <w:t>155.43</w:t>
            </w: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3、单价在20万元以上的设备</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r>
      <w:tr>
        <w:tblPrEx>
          <w:tblCellMar>
            <w:top w:w="0" w:type="dxa"/>
            <w:left w:w="108" w:type="dxa"/>
            <w:bottom w:w="0" w:type="dxa"/>
            <w:right w:w="108" w:type="dxa"/>
          </w:tblCellMar>
        </w:tblPrEx>
        <w:trPr>
          <w:trHeight w:val="567" w:hRule="exact"/>
        </w:trPr>
        <w:tc>
          <w:tcPr>
            <w:tcW w:w="5224" w:type="dxa"/>
            <w:tcBorders>
              <w:top w:val="nil"/>
              <w:left w:val="single" w:color="auto" w:sz="4" w:space="0"/>
              <w:bottom w:val="single" w:color="auto" w:sz="4" w:space="0"/>
              <w:right w:val="single" w:color="auto" w:sz="4" w:space="0"/>
            </w:tcBorders>
            <w:shd w:val="clear" w:color="auto" w:fill="auto"/>
            <w:noWrap/>
            <w:vAlign w:val="center"/>
          </w:tcPr>
          <w:p>
            <w:pPr>
              <w:widowControl/>
              <w:spacing w:line="584" w:lineRule="exact"/>
              <w:jc w:val="left"/>
              <w:rPr>
                <w:rFonts w:ascii="Times New Roman" w:hAnsi="Times New Roman" w:eastAsia="仿宋_GB2312" w:cs="Times New Roman"/>
                <w:kern w:val="0"/>
                <w:sz w:val="22"/>
              </w:rPr>
            </w:pPr>
            <w:r>
              <w:rPr>
                <w:rFonts w:ascii="Times New Roman" w:hAnsi="Times New Roman" w:eastAsia="仿宋_GB2312" w:cs="Times New Roman"/>
                <w:kern w:val="0"/>
                <w:sz w:val="22"/>
              </w:rPr>
              <w:t>4、其他固定资产</w:t>
            </w:r>
          </w:p>
        </w:tc>
        <w:tc>
          <w:tcPr>
            <w:tcW w:w="3155"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p>
        </w:tc>
        <w:tc>
          <w:tcPr>
            <w:tcW w:w="5103" w:type="dxa"/>
            <w:tcBorders>
              <w:top w:val="nil"/>
              <w:left w:val="nil"/>
              <w:bottom w:val="single" w:color="auto" w:sz="4" w:space="0"/>
              <w:right w:val="single" w:color="auto" w:sz="4" w:space="0"/>
            </w:tcBorders>
            <w:shd w:val="clear" w:color="auto" w:fill="auto"/>
            <w:noWrap/>
            <w:vAlign w:val="center"/>
          </w:tcPr>
          <w:p>
            <w:pPr>
              <w:spacing w:line="584" w:lineRule="exact"/>
              <w:jc w:val="center"/>
              <w:rPr>
                <w:rFonts w:ascii="Times New Roman" w:hAnsi="Times New Roman" w:eastAsia="仿宋_GB2312" w:cs="Times New Roman"/>
                <w:sz w:val="22"/>
              </w:rPr>
            </w:pPr>
            <w:r>
              <w:rPr>
                <w:rFonts w:hint="eastAsia" w:ascii="Times New Roman" w:hAnsi="Times New Roman" w:eastAsia="仿宋_GB2312" w:cs="Times New Roman"/>
                <w:sz w:val="22"/>
              </w:rPr>
              <w:t>169.64</w:t>
            </w:r>
          </w:p>
        </w:tc>
      </w:tr>
    </w:tbl>
    <w:p>
      <w:pPr>
        <w:autoSpaceDE w:val="0"/>
        <w:autoSpaceDN w:val="0"/>
        <w:adjustRightInd w:val="0"/>
        <w:spacing w:line="584" w:lineRule="exact"/>
        <w:ind w:left="198" w:firstLine="640" w:firstLineChars="200"/>
        <w:jc w:val="left"/>
        <w:rPr>
          <w:rFonts w:ascii="Times New Roman" w:hAnsi="Times New Roman" w:eastAsia="仿宋_GB2312" w:cs="Times New Roman"/>
          <w:sz w:val="32"/>
          <w:szCs w:val="32"/>
        </w:rPr>
      </w:pP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八、名词解释</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1、一般公共预算拨款收入：</w:t>
      </w:r>
      <w:r>
        <w:rPr>
          <w:rFonts w:ascii="Times New Roman" w:hAnsi="Times New Roman" w:eastAsia="仿宋_GB2312" w:cs="Times New Roman"/>
          <w:sz w:val="32"/>
          <w:szCs w:val="32"/>
        </w:rPr>
        <w:t>指省级财政当年拨付的资金。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2、事业收入：</w:t>
      </w:r>
      <w:r>
        <w:rPr>
          <w:rFonts w:ascii="Times New Roman" w:hAnsi="Times New Roman" w:eastAsia="仿宋_GB2312" w:cs="Times New Roman"/>
          <w:sz w:val="32"/>
          <w:szCs w:val="32"/>
        </w:rPr>
        <w:t>指事业单位开展专业业务活动及辅助活动所取得的收入。</w:t>
      </w:r>
    </w:p>
    <w:p>
      <w:pPr>
        <w:tabs>
          <w:tab w:val="left" w:pos="11490"/>
        </w:tabs>
        <w:spacing w:line="584" w:lineRule="exact"/>
        <w:ind w:firstLine="643" w:firstLineChars="200"/>
        <w:rPr>
          <w:rFonts w:ascii="Times New Roman" w:hAnsi="Times New Roman" w:eastAsia="仿宋_GB2312" w:cs="Times New Roman"/>
          <w:b/>
          <w:sz w:val="32"/>
          <w:szCs w:val="32"/>
        </w:rPr>
      </w:pPr>
      <w:r>
        <w:rPr>
          <w:rFonts w:ascii="Times New Roman" w:hAnsi="Times New Roman" w:eastAsia="仿宋_GB2312" w:cs="Times New Roman"/>
          <w:b/>
          <w:sz w:val="32"/>
          <w:szCs w:val="32"/>
        </w:rPr>
        <w:t>3、其他收入：</w:t>
      </w:r>
      <w:r>
        <w:rPr>
          <w:rFonts w:ascii="Times New Roman" w:hAnsi="Times New Roman" w:eastAsia="仿宋_GB2312" w:cs="Times New Roman"/>
          <w:sz w:val="32"/>
          <w:szCs w:val="32"/>
        </w:rPr>
        <w:t>指除“一般公共预算拨款收入”、“事业收入”等以外的收入。主要是按规定动用的租房收入、存款利息收入等。</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4、基本支出：</w:t>
      </w:r>
      <w:r>
        <w:rPr>
          <w:rFonts w:ascii="Times New Roman" w:hAnsi="Times New Roman" w:eastAsia="仿宋_GB2312" w:cs="Times New Roman"/>
          <w:sz w:val="32"/>
          <w:szCs w:val="32"/>
        </w:rPr>
        <w:t>指为保障机构正常运转、完成日常工作任务而发生的人员支出和公用支出。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5、项目支出：</w:t>
      </w:r>
      <w:r>
        <w:rPr>
          <w:rFonts w:ascii="Times New Roman" w:hAnsi="Times New Roman" w:eastAsia="仿宋_GB2312" w:cs="Times New Roman"/>
          <w:sz w:val="32"/>
          <w:szCs w:val="32"/>
        </w:rPr>
        <w:t>指在基本支出之外为完成特定行政任务和事业发展目标所发生的支出。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6、上缴上级支出：</w:t>
      </w:r>
      <w:r>
        <w:rPr>
          <w:rFonts w:ascii="Times New Roman" w:hAnsi="Times New Roman" w:eastAsia="仿宋_GB2312" w:cs="Times New Roman"/>
          <w:sz w:val="32"/>
          <w:szCs w:val="32"/>
        </w:rPr>
        <w:t>指下级单位上缴上级的支出。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7、“三公”经费：</w:t>
      </w:r>
      <w:r>
        <w:rPr>
          <w:rFonts w:ascii="Times New Roman" w:hAnsi="Times New Roman" w:eastAsia="仿宋_GB2312" w:cs="Times New Roman"/>
          <w:sz w:val="32"/>
          <w:szCs w:val="32"/>
        </w:rPr>
        <w:t>纳入省级财政预算管理的“三公”经费，是指省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8、机关运行费：</w:t>
      </w:r>
      <w:r>
        <w:rPr>
          <w:rFonts w:ascii="Times New Roman" w:hAnsi="Times New Roman" w:eastAsia="仿宋_GB2312"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9、上年结转：</w:t>
      </w:r>
      <w:r>
        <w:rPr>
          <w:rFonts w:ascii="Times New Roman" w:hAnsi="Times New Roman" w:eastAsia="仿宋_GB2312" w:cs="Times New Roman"/>
          <w:sz w:val="32"/>
          <w:szCs w:val="32"/>
        </w:rPr>
        <w:t>指以前年度尚未完成、结转到本年仍按原规定用途继续使用的资金。</w:t>
      </w:r>
    </w:p>
    <w:p>
      <w:pPr>
        <w:tabs>
          <w:tab w:val="left" w:pos="11490"/>
        </w:tabs>
        <w:spacing w:line="584" w:lineRule="exact"/>
        <w:ind w:firstLine="643" w:firstLineChars="200"/>
        <w:rPr>
          <w:rFonts w:ascii="Times New Roman" w:hAnsi="Times New Roman" w:eastAsia="仿宋_GB2312" w:cs="Times New Roman"/>
          <w:sz w:val="32"/>
          <w:szCs w:val="32"/>
        </w:rPr>
      </w:pPr>
      <w:r>
        <w:rPr>
          <w:rFonts w:ascii="Times New Roman" w:hAnsi="Times New Roman" w:eastAsia="仿宋_GB2312" w:cs="Times New Roman"/>
          <w:b/>
          <w:sz w:val="32"/>
          <w:szCs w:val="32"/>
        </w:rPr>
        <w:t>10、事业单位经营支出：</w:t>
      </w:r>
      <w:r>
        <w:rPr>
          <w:rFonts w:ascii="Times New Roman" w:hAnsi="Times New Roman" w:eastAsia="仿宋_GB2312" w:cs="Times New Roman"/>
          <w:sz w:val="32"/>
          <w:szCs w:val="32"/>
        </w:rPr>
        <w:t>指事业单位在专业业务活动及其辅助活动之外开展非独立核算经营活动发生的支出。</w:t>
      </w:r>
    </w:p>
    <w:p>
      <w:pPr>
        <w:autoSpaceDE w:val="0"/>
        <w:autoSpaceDN w:val="0"/>
        <w:adjustRightInd w:val="0"/>
        <w:spacing w:line="584" w:lineRule="exact"/>
        <w:ind w:firstLine="640" w:firstLineChars="200"/>
        <w:jc w:val="left"/>
        <w:rPr>
          <w:rFonts w:ascii="Times New Roman" w:hAnsi="Times New Roman" w:eastAsia="黑体" w:cs="Times New Roman"/>
          <w:sz w:val="32"/>
          <w:szCs w:val="32"/>
        </w:rPr>
      </w:pPr>
      <w:r>
        <w:rPr>
          <w:rFonts w:ascii="Times New Roman" w:hAnsi="黑体" w:eastAsia="黑体" w:cs="Times New Roman"/>
          <w:sz w:val="32"/>
          <w:szCs w:val="32"/>
        </w:rPr>
        <w:t>九、其他需要说明的事项</w:t>
      </w:r>
    </w:p>
    <w:p>
      <w:pPr>
        <w:spacing w:line="584"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我部门无其他需要说明的事项。</w:t>
      </w:r>
    </w:p>
    <w:p>
      <w:pPr>
        <w:spacing w:line="584" w:lineRule="exact"/>
        <w:ind w:firstLine="640" w:firstLineChars="200"/>
        <w:rPr>
          <w:rFonts w:ascii="Times New Roman" w:hAnsi="Times New Roman" w:eastAsia="仿宋_GB2312" w:cs="Times New Roman"/>
          <w:sz w:val="32"/>
          <w:szCs w:val="32"/>
        </w:rPr>
      </w:pPr>
    </w:p>
    <w:p>
      <w:pPr>
        <w:spacing w:line="584" w:lineRule="exact"/>
        <w:rPr>
          <w:rFonts w:ascii="Times New Roman" w:hAnsi="Times New Roman" w:eastAsia="仿宋_GB2312" w:cs="Times New Roman"/>
          <w:sz w:val="32"/>
          <w:szCs w:val="32"/>
        </w:rPr>
      </w:pPr>
    </w:p>
    <w:sectPr>
      <w:pgSz w:w="16838" w:h="11906" w:orient="landscape"/>
      <w:pgMar w:top="1800" w:right="1440" w:bottom="1800" w:left="1440" w:header="851" w:footer="99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0000000000000000000"/>
    <w:charset w:val="86"/>
    <w:family w:val="script"/>
    <w:pitch w:val="default"/>
    <w:sig w:usb0="00000000" w:usb1="00000000" w:usb2="00000010" w:usb3="00000000" w:csb0="00040000" w:csb1="00000000"/>
  </w:font>
  <w:font w:name="方正书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04349198"/>
      <w:docPartObj>
        <w:docPartGallery w:val="AutoText"/>
      </w:docPartObj>
    </w:sdtPr>
    <w:sdtContent>
      <w:p>
        <w:pPr>
          <w:pStyle w:val="3"/>
          <w:jc w:val="center"/>
        </w:pPr>
        <w:r>
          <w:rPr>
            <w:rFonts w:hint="eastAsia"/>
          </w:rPr>
          <w:t>-</w:t>
        </w:r>
        <w:r>
          <w:fldChar w:fldCharType="begin"/>
        </w:r>
        <w:r>
          <w:instrText xml:space="preserve">PAGE   \* MERGEFORMAT</w:instrText>
        </w:r>
        <w:r>
          <w:fldChar w:fldCharType="separate"/>
        </w:r>
        <w:r>
          <w:rPr>
            <w:lang w:val="zh-CN"/>
          </w:rPr>
          <w:t>9</w:t>
        </w:r>
        <w:r>
          <w:rPr>
            <w:lang w:val="zh-CN"/>
          </w:rPr>
          <w:fldChar w:fldCharType="end"/>
        </w:r>
        <w:r>
          <w:rPr>
            <w:rFonts w:hint="eastAsia"/>
          </w:rPr>
          <w:t>-</w:t>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032"/>
    <w:rsid w:val="00001914"/>
    <w:rsid w:val="000052A5"/>
    <w:rsid w:val="000053CC"/>
    <w:rsid w:val="00007FAB"/>
    <w:rsid w:val="00010564"/>
    <w:rsid w:val="0001168A"/>
    <w:rsid w:val="00016EB6"/>
    <w:rsid w:val="00016FFC"/>
    <w:rsid w:val="000225BC"/>
    <w:rsid w:val="0002364F"/>
    <w:rsid w:val="0002491C"/>
    <w:rsid w:val="00037AF6"/>
    <w:rsid w:val="000410F2"/>
    <w:rsid w:val="0004565F"/>
    <w:rsid w:val="00046231"/>
    <w:rsid w:val="0004798E"/>
    <w:rsid w:val="00056A62"/>
    <w:rsid w:val="00071F08"/>
    <w:rsid w:val="00072187"/>
    <w:rsid w:val="00075D5F"/>
    <w:rsid w:val="00077F55"/>
    <w:rsid w:val="0008180F"/>
    <w:rsid w:val="00093ACB"/>
    <w:rsid w:val="00093DA3"/>
    <w:rsid w:val="000A125B"/>
    <w:rsid w:val="000A5AE7"/>
    <w:rsid w:val="000B529B"/>
    <w:rsid w:val="000C24E6"/>
    <w:rsid w:val="000C3A19"/>
    <w:rsid w:val="000E179E"/>
    <w:rsid w:val="000E4305"/>
    <w:rsid w:val="000E485F"/>
    <w:rsid w:val="000F0D09"/>
    <w:rsid w:val="001015EE"/>
    <w:rsid w:val="00114553"/>
    <w:rsid w:val="00121848"/>
    <w:rsid w:val="001245BB"/>
    <w:rsid w:val="001251A3"/>
    <w:rsid w:val="0015229A"/>
    <w:rsid w:val="00160266"/>
    <w:rsid w:val="001643E8"/>
    <w:rsid w:val="00171781"/>
    <w:rsid w:val="001735B6"/>
    <w:rsid w:val="00176C13"/>
    <w:rsid w:val="00180B88"/>
    <w:rsid w:val="00184B16"/>
    <w:rsid w:val="001919C4"/>
    <w:rsid w:val="001942CB"/>
    <w:rsid w:val="0019723B"/>
    <w:rsid w:val="001A0943"/>
    <w:rsid w:val="001B5C1D"/>
    <w:rsid w:val="001B6562"/>
    <w:rsid w:val="001C510F"/>
    <w:rsid w:val="001D72B5"/>
    <w:rsid w:val="001E0757"/>
    <w:rsid w:val="001E6DDC"/>
    <w:rsid w:val="001E70E9"/>
    <w:rsid w:val="001F5C92"/>
    <w:rsid w:val="001F7873"/>
    <w:rsid w:val="00205330"/>
    <w:rsid w:val="00212DA0"/>
    <w:rsid w:val="00230E48"/>
    <w:rsid w:val="002355EC"/>
    <w:rsid w:val="00241FD4"/>
    <w:rsid w:val="00246317"/>
    <w:rsid w:val="00251B12"/>
    <w:rsid w:val="00252A7B"/>
    <w:rsid w:val="00265318"/>
    <w:rsid w:val="00266BE3"/>
    <w:rsid w:val="002740C2"/>
    <w:rsid w:val="00280031"/>
    <w:rsid w:val="002835D7"/>
    <w:rsid w:val="00290FD6"/>
    <w:rsid w:val="00296113"/>
    <w:rsid w:val="002A673A"/>
    <w:rsid w:val="002C5E13"/>
    <w:rsid w:val="002C62BC"/>
    <w:rsid w:val="002D2372"/>
    <w:rsid w:val="002D2C57"/>
    <w:rsid w:val="002E0449"/>
    <w:rsid w:val="002E0EB8"/>
    <w:rsid w:val="002E1D28"/>
    <w:rsid w:val="002F19FF"/>
    <w:rsid w:val="002F3E58"/>
    <w:rsid w:val="0030030F"/>
    <w:rsid w:val="0030542C"/>
    <w:rsid w:val="00311B7A"/>
    <w:rsid w:val="003126B6"/>
    <w:rsid w:val="00313D9C"/>
    <w:rsid w:val="00325215"/>
    <w:rsid w:val="00330D2F"/>
    <w:rsid w:val="0033339C"/>
    <w:rsid w:val="00344A27"/>
    <w:rsid w:val="0034656B"/>
    <w:rsid w:val="00352B8D"/>
    <w:rsid w:val="0035775D"/>
    <w:rsid w:val="0036086E"/>
    <w:rsid w:val="003874EF"/>
    <w:rsid w:val="003B6D37"/>
    <w:rsid w:val="003B7081"/>
    <w:rsid w:val="003C7F80"/>
    <w:rsid w:val="003D05F1"/>
    <w:rsid w:val="003E02B3"/>
    <w:rsid w:val="003E1C88"/>
    <w:rsid w:val="003F5DB1"/>
    <w:rsid w:val="004018E3"/>
    <w:rsid w:val="00404417"/>
    <w:rsid w:val="00414BD3"/>
    <w:rsid w:val="00424943"/>
    <w:rsid w:val="0042727E"/>
    <w:rsid w:val="0043175C"/>
    <w:rsid w:val="00437296"/>
    <w:rsid w:val="004458FD"/>
    <w:rsid w:val="00451590"/>
    <w:rsid w:val="00451871"/>
    <w:rsid w:val="00462694"/>
    <w:rsid w:val="004706DE"/>
    <w:rsid w:val="00472923"/>
    <w:rsid w:val="0048053C"/>
    <w:rsid w:val="004822C0"/>
    <w:rsid w:val="00486DCD"/>
    <w:rsid w:val="0049120C"/>
    <w:rsid w:val="004A6E86"/>
    <w:rsid w:val="004B0C3A"/>
    <w:rsid w:val="004B554D"/>
    <w:rsid w:val="004C49A8"/>
    <w:rsid w:val="004C4B0F"/>
    <w:rsid w:val="004D48D7"/>
    <w:rsid w:val="004D5788"/>
    <w:rsid w:val="004D60B1"/>
    <w:rsid w:val="004D6D07"/>
    <w:rsid w:val="004E3066"/>
    <w:rsid w:val="004E419C"/>
    <w:rsid w:val="004E74CD"/>
    <w:rsid w:val="004F05E7"/>
    <w:rsid w:val="005158EE"/>
    <w:rsid w:val="00524EFD"/>
    <w:rsid w:val="005314A8"/>
    <w:rsid w:val="005437CC"/>
    <w:rsid w:val="005509BC"/>
    <w:rsid w:val="0056427E"/>
    <w:rsid w:val="00572067"/>
    <w:rsid w:val="00573562"/>
    <w:rsid w:val="00590ECE"/>
    <w:rsid w:val="005957C0"/>
    <w:rsid w:val="005B3F56"/>
    <w:rsid w:val="005C0E90"/>
    <w:rsid w:val="005D0C27"/>
    <w:rsid w:val="005D37CA"/>
    <w:rsid w:val="005D7C08"/>
    <w:rsid w:val="005F5714"/>
    <w:rsid w:val="005F7AE1"/>
    <w:rsid w:val="00600299"/>
    <w:rsid w:val="00606E36"/>
    <w:rsid w:val="00611D03"/>
    <w:rsid w:val="00614A29"/>
    <w:rsid w:val="00635819"/>
    <w:rsid w:val="00636109"/>
    <w:rsid w:val="00651BA2"/>
    <w:rsid w:val="0065262D"/>
    <w:rsid w:val="0066559C"/>
    <w:rsid w:val="00670A9D"/>
    <w:rsid w:val="00673D76"/>
    <w:rsid w:val="00684327"/>
    <w:rsid w:val="006854F0"/>
    <w:rsid w:val="0069705C"/>
    <w:rsid w:val="006A0B88"/>
    <w:rsid w:val="006A390A"/>
    <w:rsid w:val="006A7D30"/>
    <w:rsid w:val="006B1C4A"/>
    <w:rsid w:val="006B610D"/>
    <w:rsid w:val="006C206A"/>
    <w:rsid w:val="006E49F5"/>
    <w:rsid w:val="007013C8"/>
    <w:rsid w:val="0072543C"/>
    <w:rsid w:val="00727C84"/>
    <w:rsid w:val="0074338E"/>
    <w:rsid w:val="00753836"/>
    <w:rsid w:val="0075393C"/>
    <w:rsid w:val="00754592"/>
    <w:rsid w:val="007576ED"/>
    <w:rsid w:val="00776C08"/>
    <w:rsid w:val="007928BD"/>
    <w:rsid w:val="007B49AA"/>
    <w:rsid w:val="007C219A"/>
    <w:rsid w:val="007D00CB"/>
    <w:rsid w:val="007D7D5E"/>
    <w:rsid w:val="007E1DA8"/>
    <w:rsid w:val="007E3F4F"/>
    <w:rsid w:val="007F0BFC"/>
    <w:rsid w:val="007F105C"/>
    <w:rsid w:val="007F1335"/>
    <w:rsid w:val="007F6C26"/>
    <w:rsid w:val="00800B4F"/>
    <w:rsid w:val="00800F72"/>
    <w:rsid w:val="00811795"/>
    <w:rsid w:val="00813208"/>
    <w:rsid w:val="00815157"/>
    <w:rsid w:val="00816C31"/>
    <w:rsid w:val="0083348E"/>
    <w:rsid w:val="008334AE"/>
    <w:rsid w:val="00836FED"/>
    <w:rsid w:val="0083724E"/>
    <w:rsid w:val="00841D53"/>
    <w:rsid w:val="00845CD2"/>
    <w:rsid w:val="00852B0D"/>
    <w:rsid w:val="0085425A"/>
    <w:rsid w:val="00860E59"/>
    <w:rsid w:val="00862CE4"/>
    <w:rsid w:val="00864B7F"/>
    <w:rsid w:val="008767FF"/>
    <w:rsid w:val="00881692"/>
    <w:rsid w:val="00882539"/>
    <w:rsid w:val="008839D6"/>
    <w:rsid w:val="008858FF"/>
    <w:rsid w:val="00887A1C"/>
    <w:rsid w:val="008A6576"/>
    <w:rsid w:val="008B3CC5"/>
    <w:rsid w:val="008B52CD"/>
    <w:rsid w:val="008C3046"/>
    <w:rsid w:val="008C7C4D"/>
    <w:rsid w:val="008E4261"/>
    <w:rsid w:val="008E70D4"/>
    <w:rsid w:val="008F0856"/>
    <w:rsid w:val="008F4662"/>
    <w:rsid w:val="0090563F"/>
    <w:rsid w:val="00905D08"/>
    <w:rsid w:val="00906672"/>
    <w:rsid w:val="00911C2B"/>
    <w:rsid w:val="00922C0B"/>
    <w:rsid w:val="00925753"/>
    <w:rsid w:val="00926F24"/>
    <w:rsid w:val="00934992"/>
    <w:rsid w:val="00937F8B"/>
    <w:rsid w:val="009406D1"/>
    <w:rsid w:val="009425F4"/>
    <w:rsid w:val="00943860"/>
    <w:rsid w:val="00943BD8"/>
    <w:rsid w:val="00954B2C"/>
    <w:rsid w:val="00966C5C"/>
    <w:rsid w:val="00970742"/>
    <w:rsid w:val="00973104"/>
    <w:rsid w:val="00983CF2"/>
    <w:rsid w:val="009842F6"/>
    <w:rsid w:val="009867DE"/>
    <w:rsid w:val="00990BD5"/>
    <w:rsid w:val="00995ABE"/>
    <w:rsid w:val="00995BF0"/>
    <w:rsid w:val="009A16D5"/>
    <w:rsid w:val="009A353D"/>
    <w:rsid w:val="009B0B77"/>
    <w:rsid w:val="009B511E"/>
    <w:rsid w:val="009B5215"/>
    <w:rsid w:val="009C6C86"/>
    <w:rsid w:val="009D37D3"/>
    <w:rsid w:val="00A16E6C"/>
    <w:rsid w:val="00A21664"/>
    <w:rsid w:val="00A33F83"/>
    <w:rsid w:val="00A353CC"/>
    <w:rsid w:val="00A36F96"/>
    <w:rsid w:val="00A40F60"/>
    <w:rsid w:val="00A422CF"/>
    <w:rsid w:val="00A434A9"/>
    <w:rsid w:val="00A44E3D"/>
    <w:rsid w:val="00A72D2E"/>
    <w:rsid w:val="00A74447"/>
    <w:rsid w:val="00A74CE5"/>
    <w:rsid w:val="00A766E1"/>
    <w:rsid w:val="00A77500"/>
    <w:rsid w:val="00A8536F"/>
    <w:rsid w:val="00A87ADE"/>
    <w:rsid w:val="00A911E7"/>
    <w:rsid w:val="00A939D9"/>
    <w:rsid w:val="00AB39D4"/>
    <w:rsid w:val="00AB77AA"/>
    <w:rsid w:val="00AC4748"/>
    <w:rsid w:val="00AD5259"/>
    <w:rsid w:val="00AE2FC1"/>
    <w:rsid w:val="00B01D36"/>
    <w:rsid w:val="00B078CD"/>
    <w:rsid w:val="00B15382"/>
    <w:rsid w:val="00B20712"/>
    <w:rsid w:val="00B215FD"/>
    <w:rsid w:val="00B43238"/>
    <w:rsid w:val="00B45DD3"/>
    <w:rsid w:val="00B54B90"/>
    <w:rsid w:val="00B64FA8"/>
    <w:rsid w:val="00B73582"/>
    <w:rsid w:val="00B75216"/>
    <w:rsid w:val="00B755A2"/>
    <w:rsid w:val="00B77A5F"/>
    <w:rsid w:val="00B9104C"/>
    <w:rsid w:val="00B91D52"/>
    <w:rsid w:val="00B9490F"/>
    <w:rsid w:val="00BA1ACD"/>
    <w:rsid w:val="00BB775B"/>
    <w:rsid w:val="00BD09F8"/>
    <w:rsid w:val="00BF2DF5"/>
    <w:rsid w:val="00C005B2"/>
    <w:rsid w:val="00C1565C"/>
    <w:rsid w:val="00C21E0F"/>
    <w:rsid w:val="00C362CA"/>
    <w:rsid w:val="00C560E8"/>
    <w:rsid w:val="00C57C62"/>
    <w:rsid w:val="00C732BF"/>
    <w:rsid w:val="00C772C1"/>
    <w:rsid w:val="00C77443"/>
    <w:rsid w:val="00CA10FB"/>
    <w:rsid w:val="00CA4525"/>
    <w:rsid w:val="00CA7176"/>
    <w:rsid w:val="00CB51D7"/>
    <w:rsid w:val="00CC75B0"/>
    <w:rsid w:val="00CC7B84"/>
    <w:rsid w:val="00CD2773"/>
    <w:rsid w:val="00CE01BA"/>
    <w:rsid w:val="00CE143B"/>
    <w:rsid w:val="00CE3A91"/>
    <w:rsid w:val="00D0188E"/>
    <w:rsid w:val="00D018F7"/>
    <w:rsid w:val="00D07DBA"/>
    <w:rsid w:val="00D23C16"/>
    <w:rsid w:val="00D27003"/>
    <w:rsid w:val="00D324AD"/>
    <w:rsid w:val="00D40A9F"/>
    <w:rsid w:val="00D744D4"/>
    <w:rsid w:val="00D9307A"/>
    <w:rsid w:val="00DA76CB"/>
    <w:rsid w:val="00DB28B3"/>
    <w:rsid w:val="00DB4322"/>
    <w:rsid w:val="00DB4D4B"/>
    <w:rsid w:val="00DC1E12"/>
    <w:rsid w:val="00DD0996"/>
    <w:rsid w:val="00DD1D0C"/>
    <w:rsid w:val="00DE186D"/>
    <w:rsid w:val="00DE6D4C"/>
    <w:rsid w:val="00E078B2"/>
    <w:rsid w:val="00E167C7"/>
    <w:rsid w:val="00E26ADB"/>
    <w:rsid w:val="00E273A9"/>
    <w:rsid w:val="00E47A58"/>
    <w:rsid w:val="00E55B78"/>
    <w:rsid w:val="00E673EA"/>
    <w:rsid w:val="00E76361"/>
    <w:rsid w:val="00E84020"/>
    <w:rsid w:val="00E845FC"/>
    <w:rsid w:val="00E847B6"/>
    <w:rsid w:val="00E85FD7"/>
    <w:rsid w:val="00E906B2"/>
    <w:rsid w:val="00EA61D1"/>
    <w:rsid w:val="00EB0582"/>
    <w:rsid w:val="00EB0FBD"/>
    <w:rsid w:val="00EB7A80"/>
    <w:rsid w:val="00EC47F6"/>
    <w:rsid w:val="00ED1C74"/>
    <w:rsid w:val="00EE6D6D"/>
    <w:rsid w:val="00EF08C9"/>
    <w:rsid w:val="00EF33A9"/>
    <w:rsid w:val="00EF535E"/>
    <w:rsid w:val="00F32645"/>
    <w:rsid w:val="00F46674"/>
    <w:rsid w:val="00F471F7"/>
    <w:rsid w:val="00F66032"/>
    <w:rsid w:val="00F74B42"/>
    <w:rsid w:val="00F76BE6"/>
    <w:rsid w:val="00F83B96"/>
    <w:rsid w:val="00F8441D"/>
    <w:rsid w:val="00F87C1E"/>
    <w:rsid w:val="00F958C2"/>
    <w:rsid w:val="00FA740E"/>
    <w:rsid w:val="00FB5240"/>
    <w:rsid w:val="00FC06C7"/>
    <w:rsid w:val="00FD0BC6"/>
    <w:rsid w:val="00FD5DB4"/>
    <w:rsid w:val="00FD676E"/>
    <w:rsid w:val="00FE1724"/>
    <w:rsid w:val="00FE5FBF"/>
    <w:rsid w:val="00FE753C"/>
    <w:rsid w:val="00FF2346"/>
    <w:rsid w:val="00FF488E"/>
    <w:rsid w:val="3BAC560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39" w:semiHidden="0" w:name="toc 1"/>
    <w:lsdException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4"/>
    <w:semiHidden/>
    <w:unhideWhenUsed/>
    <w:uiPriority w:val="99"/>
    <w:rPr>
      <w:sz w:val="18"/>
      <w:szCs w:val="18"/>
    </w:rPr>
  </w:style>
  <w:style w:type="paragraph" w:styleId="3">
    <w:name w:val="footer"/>
    <w:basedOn w:val="1"/>
    <w:link w:val="13"/>
    <w:uiPriority w:val="99"/>
    <w:pPr>
      <w:tabs>
        <w:tab w:val="center" w:pos="4153"/>
        <w:tab w:val="right" w:pos="8306"/>
      </w:tabs>
      <w:snapToGrid w:val="0"/>
      <w:jc w:val="left"/>
    </w:pPr>
    <w:rPr>
      <w:rFonts w:ascii="Times New Roman" w:hAnsi="Times New Roman" w:eastAsia="宋体" w:cs="Times New Roman"/>
      <w:sz w:val="18"/>
      <w:szCs w:val="18"/>
    </w:rPr>
  </w:style>
  <w:style w:type="paragraph" w:styleId="4">
    <w:name w:val="header"/>
    <w:basedOn w:val="1"/>
    <w:link w:val="12"/>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5">
    <w:name w:val="toc 1"/>
    <w:basedOn w:val="1"/>
    <w:next w:val="1"/>
    <w:uiPriority w:val="39"/>
    <w:rPr>
      <w:rFonts w:ascii="Times New Roman" w:hAnsi="Times New Roman" w:eastAsia="宋体" w:cs="Times New Roman"/>
      <w:szCs w:val="24"/>
    </w:rPr>
  </w:style>
  <w:style w:type="paragraph" w:styleId="6">
    <w:name w:val="footnote text"/>
    <w:basedOn w:val="1"/>
    <w:link w:val="16"/>
    <w:semiHidden/>
    <w:unhideWhenUsed/>
    <w:uiPriority w:val="99"/>
    <w:pPr>
      <w:snapToGrid w:val="0"/>
      <w:jc w:val="left"/>
    </w:pPr>
    <w:rPr>
      <w:rFonts w:ascii="Calibri" w:hAnsi="Calibri" w:eastAsia="宋体" w:cs="Times New Roman"/>
      <w:sz w:val="18"/>
      <w:szCs w:val="18"/>
    </w:rPr>
  </w:style>
  <w:style w:type="paragraph" w:styleId="7">
    <w:name w:val="toc 2"/>
    <w:basedOn w:val="1"/>
    <w:next w:val="1"/>
    <w:uiPriority w:val="39"/>
    <w:pPr>
      <w:ind w:left="420" w:leftChars="200"/>
    </w:pPr>
    <w:rPr>
      <w:rFonts w:ascii="Times New Roman" w:hAnsi="Times New Roman" w:eastAsia="宋体" w:cs="Times New Roman"/>
      <w:szCs w:val="24"/>
    </w:rPr>
  </w:style>
  <w:style w:type="paragraph" w:styleId="8">
    <w:name w:val="Normal (Web)"/>
    <w:basedOn w:val="1"/>
    <w:uiPriority w:val="99"/>
    <w:pPr>
      <w:spacing w:before="100" w:beforeAutospacing="1" w:after="100" w:afterAutospacing="1"/>
      <w:jc w:val="left"/>
    </w:pPr>
    <w:rPr>
      <w:rFonts w:ascii="Calibri" w:hAnsi="Calibri" w:eastAsia="宋体" w:cs="Times New Roman"/>
      <w:kern w:val="0"/>
      <w:sz w:val="24"/>
      <w:szCs w:val="24"/>
    </w:rPr>
  </w:style>
  <w:style w:type="character" w:styleId="11">
    <w:name w:val="footnote reference"/>
    <w:semiHidden/>
    <w:unhideWhenUsed/>
    <w:uiPriority w:val="99"/>
    <w:rPr>
      <w:vertAlign w:val="superscript"/>
    </w:rPr>
  </w:style>
  <w:style w:type="character" w:customStyle="1" w:styleId="12">
    <w:name w:val="页眉 Char"/>
    <w:basedOn w:val="10"/>
    <w:link w:val="4"/>
    <w:uiPriority w:val="99"/>
    <w:rPr>
      <w:rFonts w:ascii="Times New Roman" w:hAnsi="Times New Roman" w:eastAsia="宋体" w:cs="Times New Roman"/>
      <w:sz w:val="18"/>
      <w:szCs w:val="18"/>
    </w:rPr>
  </w:style>
  <w:style w:type="character" w:customStyle="1" w:styleId="13">
    <w:name w:val="页脚 Char"/>
    <w:basedOn w:val="10"/>
    <w:link w:val="3"/>
    <w:uiPriority w:val="99"/>
    <w:rPr>
      <w:rFonts w:ascii="Times New Roman" w:hAnsi="Times New Roman" w:eastAsia="宋体" w:cs="Times New Roman"/>
      <w:sz w:val="18"/>
      <w:szCs w:val="18"/>
    </w:rPr>
  </w:style>
  <w:style w:type="character" w:customStyle="1" w:styleId="14">
    <w:name w:val="批注框文本 Char"/>
    <w:basedOn w:val="10"/>
    <w:link w:val="2"/>
    <w:semiHidden/>
    <w:uiPriority w:val="99"/>
    <w:rPr>
      <w:sz w:val="18"/>
      <w:szCs w:val="18"/>
    </w:rPr>
  </w:style>
  <w:style w:type="paragraph" w:customStyle="1" w:styleId="15">
    <w:name w:val="Default"/>
    <w:uiPriority w:val="0"/>
    <w:pPr>
      <w:widowControl w:val="0"/>
      <w:autoSpaceDE w:val="0"/>
      <w:autoSpaceDN w:val="0"/>
      <w:adjustRightInd w:val="0"/>
    </w:pPr>
    <w:rPr>
      <w:rFonts w:ascii="Times New Roman" w:hAnsi="Times New Roman" w:cs="Times New Roman" w:eastAsiaTheme="minorEastAsia"/>
      <w:color w:val="000000"/>
      <w:kern w:val="0"/>
      <w:sz w:val="24"/>
      <w:szCs w:val="24"/>
      <w:lang w:val="en-US" w:eastAsia="zh-CN" w:bidi="ar-SA"/>
    </w:rPr>
  </w:style>
  <w:style w:type="character" w:customStyle="1" w:styleId="16">
    <w:name w:val="脚注文本 Char"/>
    <w:basedOn w:val="10"/>
    <w:link w:val="6"/>
    <w:semiHidden/>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DCCE52D-8365-4FBD-9FA7-4CC2C06EB1DF}">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17</Pages>
  <Words>1228</Words>
  <Characters>7003</Characters>
  <Lines>58</Lines>
  <Paragraphs>16</Paragraphs>
  <TotalTime>101</TotalTime>
  <ScaleCrop>false</ScaleCrop>
  <LinksUpToDate>false</LinksUpToDate>
  <CharactersWithSpaces>8215</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2021-03-11T06:28:00Z</dcterms:created>
  <dc:creator>guest</dc:creator>
  <cp:lastModifiedBy>Administrator</cp:lastModifiedBy>
  <cp:lastPrinted>2018-01-30T06:12:00Z</cp:lastPrinted>
  <dcterms:modified xsi:type="dcterms:W3CDTF">2021-03-15T00:45:13Z</dcterms:modified>
  <cp:revision>60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